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5B053" w14:textId="1C51503B" w:rsidR="00602D80" w:rsidRDefault="00D83AE4" w:rsidP="00AB5BC9">
      <w:pPr>
        <w:spacing w:before="120" w:after="120" w:line="240" w:lineRule="auto"/>
        <w:jc w:val="right"/>
        <w:rPr>
          <w:rFonts w:ascii="Trebuchet MS" w:hAnsi="Trebuchet MS"/>
          <w:b/>
          <w:bCs/>
        </w:rPr>
      </w:pPr>
      <w:r w:rsidRPr="00AB5BC9">
        <w:rPr>
          <w:rFonts w:ascii="Trebuchet MS" w:hAnsi="Trebuchet MS"/>
          <w:b/>
          <w:bCs/>
        </w:rPr>
        <w:t>A</w:t>
      </w:r>
      <w:r w:rsidR="00B97EF9">
        <w:rPr>
          <w:rFonts w:ascii="Trebuchet MS" w:hAnsi="Trebuchet MS"/>
          <w:b/>
          <w:bCs/>
        </w:rPr>
        <w:t>ppendix</w:t>
      </w:r>
      <w:r w:rsidRPr="00AB5BC9">
        <w:rPr>
          <w:rFonts w:ascii="Trebuchet MS" w:hAnsi="Trebuchet MS"/>
          <w:b/>
          <w:bCs/>
        </w:rPr>
        <w:t xml:space="preserve"> </w:t>
      </w:r>
      <w:r w:rsidR="00B97EF9">
        <w:rPr>
          <w:rFonts w:ascii="Trebuchet MS" w:hAnsi="Trebuchet MS"/>
          <w:b/>
          <w:bCs/>
        </w:rPr>
        <w:t>A</w:t>
      </w:r>
    </w:p>
    <w:p w14:paraId="4C2331E7" w14:textId="692EAB89" w:rsidR="005F7233" w:rsidRPr="00AB5BC9" w:rsidRDefault="00546C6D" w:rsidP="00AB5BC9">
      <w:pPr>
        <w:spacing w:before="120" w:after="120" w:line="240" w:lineRule="auto"/>
        <w:jc w:val="right"/>
        <w:rPr>
          <w:rFonts w:ascii="Trebuchet MS" w:hAnsi="Trebuchet MS"/>
          <w:b/>
          <w:bCs/>
        </w:rPr>
      </w:pPr>
      <w:r w:rsidRPr="00546C6D">
        <w:rPr>
          <w:rFonts w:ascii="Trebuchet MS" w:hAnsi="Trebuchet MS"/>
          <w:b/>
          <w:bCs/>
        </w:rPr>
        <w:t>to the Design Brief</w:t>
      </w:r>
    </w:p>
    <w:p w14:paraId="6B8841CA" w14:textId="77777777" w:rsidR="005F7233" w:rsidRDefault="005F7233" w:rsidP="00AB5BC9">
      <w:pPr>
        <w:spacing w:before="120" w:after="120" w:line="240" w:lineRule="auto"/>
        <w:jc w:val="center"/>
        <w:rPr>
          <w:rFonts w:ascii="Trebuchet MS" w:hAnsi="Trebuchet MS"/>
          <w:b/>
          <w:bCs/>
          <w:sz w:val="32"/>
          <w:szCs w:val="32"/>
        </w:rPr>
      </w:pPr>
    </w:p>
    <w:p w14:paraId="6AC116C7" w14:textId="6EFC990C" w:rsidR="004D6983" w:rsidRPr="00AB5BC9" w:rsidRDefault="00D83AE4" w:rsidP="00AB5BC9">
      <w:pPr>
        <w:spacing w:before="120" w:after="120" w:line="240" w:lineRule="auto"/>
        <w:jc w:val="center"/>
        <w:rPr>
          <w:rFonts w:ascii="Trebuchet MS" w:hAnsi="Trebuchet MS"/>
          <w:b/>
          <w:bCs/>
          <w:sz w:val="32"/>
          <w:szCs w:val="32"/>
        </w:rPr>
      </w:pPr>
      <w:r w:rsidRPr="00AB5BC9">
        <w:rPr>
          <w:rFonts w:ascii="Trebuchet MS" w:hAnsi="Trebuchet MS"/>
          <w:b/>
          <w:bCs/>
          <w:sz w:val="32"/>
          <w:szCs w:val="32"/>
        </w:rPr>
        <w:t>Indicative functional scenario</w:t>
      </w:r>
    </w:p>
    <w:p w14:paraId="798CA799" w14:textId="1D2EE36C" w:rsidR="00EB01A7" w:rsidRDefault="00EB01A7">
      <w:pPr>
        <w:pStyle w:val="ListParagraph"/>
        <w:widowControl w:val="0"/>
        <w:suppressAutoHyphens/>
        <w:overflowPunct w:val="0"/>
        <w:autoSpaceDE w:val="0"/>
        <w:spacing w:before="120" w:after="120" w:line="240" w:lineRule="auto"/>
        <w:ind w:left="0"/>
        <w:contextualSpacing w:val="0"/>
        <w:jc w:val="both"/>
        <w:textAlignment w:val="baseline"/>
        <w:rPr>
          <w:rFonts w:ascii="Trebuchet MS" w:hAnsi="Trebuchet MS"/>
          <w:sz w:val="22"/>
          <w:szCs w:val="22"/>
        </w:rPr>
      </w:pPr>
    </w:p>
    <w:p w14:paraId="2C01C9C0" w14:textId="13E219F4" w:rsidR="00D83AE4" w:rsidRPr="00D80555" w:rsidRDefault="00226EE6">
      <w:pPr>
        <w:pStyle w:val="ListParagraph"/>
        <w:widowControl w:val="0"/>
        <w:suppressAutoHyphens/>
        <w:overflowPunct w:val="0"/>
        <w:autoSpaceDE w:val="0"/>
        <w:spacing w:before="120" w:after="120" w:line="240" w:lineRule="auto"/>
        <w:ind w:left="0"/>
        <w:contextualSpacing w:val="0"/>
        <w:jc w:val="both"/>
        <w:textAlignment w:val="baseline"/>
        <w:rPr>
          <w:rFonts w:ascii="Trebuchet MS" w:eastAsia="Times New Roman" w:hAnsi="Trebuchet MS" w:cs="Arial"/>
          <w:kern w:val="1"/>
          <w:sz w:val="22"/>
          <w:szCs w:val="22"/>
          <w14:ligatures w14:val="none"/>
        </w:rPr>
      </w:pPr>
      <w:r w:rsidRPr="00226EE6">
        <w:rPr>
          <w:rFonts w:ascii="Trebuchet MS" w:hAnsi="Trebuchet MS"/>
          <w:sz w:val="22"/>
          <w:szCs w:val="22"/>
        </w:rPr>
        <w:t xml:space="preserve">The indicative functional scenario does not represent a mandatory or limiting technical solution, but a minimal functional support for defining the relationships between spaces, flows and infrastructures necessary for the operation of the laboratory. The final solutions can be </w:t>
      </w:r>
      <w:r w:rsidR="00935C2F" w:rsidRPr="00935C2F">
        <w:rPr>
          <w:rFonts w:ascii="Trebuchet MS" w:hAnsi="Trebuchet MS"/>
          <w:sz w:val="22"/>
          <w:szCs w:val="22"/>
        </w:rPr>
        <w:t>adapted and optimized by the Consultant during the Feasibility Study stage</w:t>
      </w:r>
      <w:r w:rsidRPr="00226EE6">
        <w:rPr>
          <w:rFonts w:ascii="Trebuchet MS" w:hAnsi="Trebuchet MS"/>
          <w:sz w:val="22"/>
          <w:szCs w:val="22"/>
        </w:rPr>
        <w:t xml:space="preserve">, depending on the </w:t>
      </w:r>
      <w:r w:rsidR="00935C2F" w:rsidRPr="00935C2F">
        <w:rPr>
          <w:rFonts w:ascii="Trebuchet MS" w:hAnsi="Trebuchet MS"/>
          <w:sz w:val="22"/>
          <w:szCs w:val="22"/>
        </w:rPr>
        <w:t>technical, site planning, structural and economic constraints</w:t>
      </w:r>
      <w:r w:rsidR="00935C2F">
        <w:rPr>
          <w:rFonts w:ascii="Trebuchet MS" w:hAnsi="Trebuchet MS"/>
          <w:sz w:val="22"/>
          <w:szCs w:val="22"/>
        </w:rPr>
        <w:t xml:space="preserve"> </w:t>
      </w:r>
      <w:r w:rsidRPr="00226EE6">
        <w:rPr>
          <w:rFonts w:ascii="Trebuchet MS" w:hAnsi="Trebuchet MS"/>
          <w:sz w:val="22"/>
          <w:szCs w:val="22"/>
        </w:rPr>
        <w:t>identified.</w:t>
      </w:r>
      <w:r w:rsidR="006658D8">
        <w:rPr>
          <w:rFonts w:ascii="Trebuchet MS" w:hAnsi="Trebuchet MS"/>
          <w:sz w:val="22"/>
          <w:szCs w:val="22"/>
        </w:rPr>
        <w:t xml:space="preserve"> </w:t>
      </w:r>
      <w:r w:rsidR="006658D8" w:rsidRPr="006658D8">
        <w:rPr>
          <w:rFonts w:ascii="Trebuchet MS" w:hAnsi="Trebuchet MS"/>
          <w:sz w:val="22"/>
          <w:szCs w:val="22"/>
        </w:rPr>
        <w:t>The Consultant shall also ensure that the proposed solutions incorporate the principles of universal accessibility and inclusive design, as appropriate.</w:t>
      </w:r>
    </w:p>
    <w:p w14:paraId="31CC1F48" w14:textId="77777777" w:rsidR="007775A8" w:rsidRDefault="007775A8" w:rsidP="00AB5BC9">
      <w:pPr>
        <w:pStyle w:val="NormalWeb"/>
        <w:tabs>
          <w:tab w:val="clear" w:pos="737"/>
        </w:tabs>
        <w:spacing w:before="120" w:after="120" w:line="240" w:lineRule="auto"/>
        <w:ind w:left="0"/>
        <w:jc w:val="left"/>
        <w:rPr>
          <w:rFonts w:ascii="Trebuchet MS" w:hAnsi="Trebuchet MS"/>
          <w:b/>
          <w:bCs/>
          <w:sz w:val="22"/>
          <w:szCs w:val="22"/>
          <w:lang w:val="ro-RO" w:eastAsia="ar-SA"/>
        </w:rPr>
      </w:pPr>
    </w:p>
    <w:p w14:paraId="6ABAF408" w14:textId="12F0171D" w:rsidR="007775A8" w:rsidRPr="00AB5BC9" w:rsidRDefault="007775A8" w:rsidP="00AB5BC9">
      <w:pPr>
        <w:pStyle w:val="NormalWeb"/>
        <w:tabs>
          <w:tab w:val="clear" w:pos="737"/>
        </w:tabs>
        <w:spacing w:before="120" w:after="120" w:line="480" w:lineRule="auto"/>
        <w:ind w:left="0"/>
        <w:jc w:val="left"/>
        <w:rPr>
          <w:rFonts w:ascii="Trebuchet MS" w:hAnsi="Trebuchet MS"/>
          <w:lang w:val="ro-RO"/>
        </w:rPr>
      </w:pPr>
      <w:r w:rsidRPr="00AB5BC9">
        <w:rPr>
          <w:rFonts w:ascii="Trebuchet MS" w:hAnsi="Trebuchet MS"/>
          <w:b/>
          <w:bCs/>
          <w:lang w:val="ro-RO" w:eastAsia="ar-SA"/>
        </w:rPr>
        <w:t xml:space="preserve">Architectural and </w:t>
      </w:r>
      <w:r w:rsidR="00784452">
        <w:rPr>
          <w:rFonts w:ascii="Trebuchet MS" w:hAnsi="Trebuchet MS"/>
          <w:b/>
          <w:bCs/>
          <w:lang w:val="ro-RO" w:eastAsia="ar-SA"/>
        </w:rPr>
        <w:t>construction</w:t>
      </w:r>
      <w:r w:rsidRPr="00AB5BC9">
        <w:rPr>
          <w:rFonts w:ascii="Trebuchet MS" w:hAnsi="Trebuchet MS"/>
          <w:b/>
          <w:bCs/>
          <w:lang w:val="ro-RO" w:eastAsia="ar-SA"/>
        </w:rPr>
        <w:t xml:space="preserve"> solutions</w:t>
      </w:r>
    </w:p>
    <w:p w14:paraId="2130C3B4" w14:textId="54B20DFD" w:rsidR="007775A8" w:rsidRPr="00AB5BC9" w:rsidRDefault="007775A8" w:rsidP="00AB5BC9">
      <w:p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The building can be made with durable materials adapted to the laboratory function, including:</w:t>
      </w:r>
    </w:p>
    <w:p w14:paraId="66D0A056"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Arial"/>
          <w:sz w:val="22"/>
          <w:szCs w:val="22"/>
        </w:rPr>
        <w:t>masonry partitions and/or lightweight walls (drywall or modular systems);</w:t>
      </w:r>
    </w:p>
    <w:p w14:paraId="6CA3FC2D"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Arial"/>
          <w:sz w:val="22"/>
          <w:szCs w:val="22"/>
        </w:rPr>
        <w:t>false ceilings (plasterboard or coffered), depending on the requirements of the spaces;</w:t>
      </w:r>
    </w:p>
    <w:p w14:paraId="6A0E2AA1"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Times New Roman"/>
          <w:sz w:val="22"/>
          <w:szCs w:val="22"/>
          <w:lang w:eastAsia="ro-RO"/>
        </w:rPr>
        <w:t>adaptable layout for equipment with different sizes and requirements (electrical power supply, ventilation, fluids), with capacity reserves in the design of the installations (up to 30%, as appropriate);</w:t>
      </w:r>
    </w:p>
    <w:p w14:paraId="3C864C10"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Times New Roman"/>
          <w:sz w:val="22"/>
          <w:szCs w:val="22"/>
          <w:lang w:eastAsia="ro-RO"/>
        </w:rPr>
        <w:t>the possibility of reconfiguring spaces through light partitions and modular furniture, depending on the evolution of the types of analyses and the volume of activity;</w:t>
      </w:r>
    </w:p>
    <w:p w14:paraId="0720D908" w14:textId="4AFEAE76"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Times New Roman"/>
          <w:sz w:val="22"/>
          <w:szCs w:val="22"/>
          <w:lang w:eastAsia="ro-RO"/>
        </w:rPr>
        <w:t>the possibility of expanding capacity without major structural interventions;</w:t>
      </w:r>
    </w:p>
    <w:p w14:paraId="6E94A161" w14:textId="07F30F61" w:rsidR="00226EE6" w:rsidRPr="00AB5BC9" w:rsidRDefault="00226EE6" w:rsidP="00AB5BC9">
      <w:pPr>
        <w:numPr>
          <w:ilvl w:val="0"/>
          <w:numId w:val="4"/>
        </w:numPr>
        <w:spacing w:before="120" w:after="120" w:line="240" w:lineRule="auto"/>
        <w:ind w:left="567" w:hanging="283"/>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organizing spaces and technical infrastructures so as to allow access for the installation, replacement and maintenance of large laboratory equipment or equipment with special operating requirements;</w:t>
      </w:r>
    </w:p>
    <w:p w14:paraId="2777B9EA" w14:textId="614E33EC" w:rsidR="00226EE6" w:rsidRDefault="00226EE6" w:rsidP="00AB5BC9">
      <w:pPr>
        <w:numPr>
          <w:ilvl w:val="0"/>
          <w:numId w:val="4"/>
        </w:numPr>
        <w:spacing w:before="120" w:after="120" w:line="240" w:lineRule="auto"/>
        <w:ind w:left="567" w:hanging="283"/>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 xml:space="preserve">provision of accessible </w:t>
      </w:r>
      <w:r w:rsidR="008A22D2">
        <w:rPr>
          <w:rFonts w:ascii="Trebuchet MS" w:eastAsia="Times New Roman" w:hAnsi="Trebuchet MS" w:cs="Times New Roman"/>
          <w:sz w:val="22"/>
          <w:szCs w:val="22"/>
          <w:lang w:eastAsia="ro-RO"/>
        </w:rPr>
        <w:t xml:space="preserve">service </w:t>
      </w:r>
      <w:r w:rsidR="00784452">
        <w:rPr>
          <w:rFonts w:ascii="Trebuchet MS" w:eastAsia="Times New Roman" w:hAnsi="Trebuchet MS" w:cs="Times New Roman"/>
          <w:sz w:val="22"/>
          <w:szCs w:val="22"/>
          <w:lang w:eastAsia="ro-RO"/>
        </w:rPr>
        <w:t>routes</w:t>
      </w:r>
      <w:r w:rsidRPr="00AB5BC9">
        <w:rPr>
          <w:rFonts w:ascii="Trebuchet MS" w:eastAsia="Times New Roman" w:hAnsi="Trebuchet MS" w:cs="Times New Roman"/>
          <w:sz w:val="22"/>
          <w:szCs w:val="22"/>
          <w:lang w:eastAsia="ro-RO"/>
        </w:rPr>
        <w:t xml:space="preserve"> and reserves for future expansion of facilities and equipment;</w:t>
      </w:r>
    </w:p>
    <w:p w14:paraId="2CDDCF0F" w14:textId="14581DB0" w:rsidR="006658D8" w:rsidRPr="00AB5BC9" w:rsidRDefault="006658D8" w:rsidP="00AB5BC9">
      <w:pPr>
        <w:numPr>
          <w:ilvl w:val="0"/>
          <w:numId w:val="4"/>
        </w:numPr>
        <w:spacing w:before="120" w:after="120" w:line="240" w:lineRule="auto"/>
        <w:ind w:left="567" w:hanging="283"/>
        <w:jc w:val="both"/>
        <w:rPr>
          <w:rFonts w:ascii="Trebuchet MS" w:eastAsia="Times New Roman" w:hAnsi="Trebuchet MS" w:cs="Times New Roman"/>
          <w:sz w:val="22"/>
          <w:szCs w:val="22"/>
          <w:lang w:eastAsia="ro-RO"/>
        </w:rPr>
      </w:pPr>
      <w:r w:rsidRPr="006658D8">
        <w:rPr>
          <w:rFonts w:ascii="Trebuchet MS" w:eastAsia="Times New Roman" w:hAnsi="Trebuchet MS" w:cs="Times New Roman"/>
          <w:sz w:val="22"/>
          <w:szCs w:val="22"/>
          <w:lang w:eastAsia="ro-RO"/>
        </w:rPr>
        <w:t>the building shall be designed to ensure accessibility and inclusive use for persons with disabilities and persons with reduced mobility, in accordance with the applicable national legislation and universal accessibility principles, including accessible entrances, internal circulation, vertical access, sanitary facilities, parking spaces and emergency evacuation arrangements, as applicable</w:t>
      </w:r>
      <w:r>
        <w:rPr>
          <w:rFonts w:ascii="Trebuchet MS" w:eastAsia="Times New Roman" w:hAnsi="Trebuchet MS" w:cs="Times New Roman"/>
          <w:sz w:val="22"/>
          <w:szCs w:val="22"/>
          <w:lang w:val="ro-RO" w:eastAsia="ro-RO"/>
        </w:rPr>
        <w:t>;</w:t>
      </w:r>
    </w:p>
    <w:p w14:paraId="1232CBDF" w14:textId="027ED460"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 xml:space="preserve">high-performance </w:t>
      </w:r>
      <w:r w:rsidR="00546C6D" w:rsidRPr="00546C6D">
        <w:rPr>
          <w:rFonts w:ascii="Trebuchet MS" w:eastAsia="Times New Roman" w:hAnsi="Trebuchet MS" w:cs="Times New Roman"/>
          <w:sz w:val="22"/>
          <w:szCs w:val="22"/>
          <w:lang w:eastAsia="ro-RO"/>
        </w:rPr>
        <w:t>windows and doors</w:t>
      </w:r>
      <w:r w:rsidRPr="00AB5BC9">
        <w:rPr>
          <w:rFonts w:ascii="Trebuchet MS" w:eastAsia="Times New Roman" w:hAnsi="Trebuchet MS" w:cs="Times New Roman"/>
          <w:sz w:val="22"/>
          <w:szCs w:val="22"/>
          <w:lang w:eastAsia="ro-RO"/>
        </w:rPr>
        <w:t xml:space="preserve"> and efficient thermal insulation solutions, including, where appropriate, ventilated facade;</w:t>
      </w:r>
    </w:p>
    <w:p w14:paraId="10A206C5" w14:textId="55C702D6"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Arial"/>
          <w:sz w:val="22"/>
          <w:szCs w:val="22"/>
        </w:rPr>
        <w:t xml:space="preserve">durable exterior finishes and perimeter </w:t>
      </w:r>
      <w:r w:rsidR="00546C6D" w:rsidRPr="00546C6D">
        <w:rPr>
          <w:rFonts w:ascii="Trebuchet MS" w:eastAsia="Times New Roman" w:hAnsi="Trebuchet MS" w:cs="Arial"/>
          <w:sz w:val="22"/>
          <w:szCs w:val="22"/>
        </w:rPr>
        <w:t>walkway</w:t>
      </w:r>
      <w:r w:rsidRPr="00AB5BC9">
        <w:rPr>
          <w:rFonts w:ascii="Trebuchet MS" w:eastAsia="Times New Roman" w:hAnsi="Trebuchet MS" w:cs="Arial"/>
          <w:sz w:val="22"/>
          <w:szCs w:val="22"/>
        </w:rPr>
        <w:t>.</w:t>
      </w:r>
    </w:p>
    <w:p w14:paraId="6E6CE625" w14:textId="77777777" w:rsidR="007775A8" w:rsidRPr="003A507F" w:rsidRDefault="007775A8" w:rsidP="00AB5BC9">
      <w:pPr>
        <w:pStyle w:val="NormalWeb"/>
        <w:tabs>
          <w:tab w:val="clear" w:pos="737"/>
        </w:tabs>
        <w:spacing w:before="120" w:after="120" w:line="240" w:lineRule="auto"/>
        <w:ind w:left="0"/>
        <w:jc w:val="left"/>
        <w:rPr>
          <w:rFonts w:ascii="Trebuchet MS" w:hAnsi="Trebuchet MS"/>
          <w:b/>
          <w:bCs/>
          <w:sz w:val="22"/>
          <w:szCs w:val="22"/>
          <w:lang w:val="ro-RO" w:eastAsia="ar-SA"/>
        </w:rPr>
      </w:pPr>
    </w:p>
    <w:p w14:paraId="62C616CB" w14:textId="77777777" w:rsidR="007775A8" w:rsidRPr="00AB5BC9" w:rsidRDefault="007775A8" w:rsidP="00AB5BC9">
      <w:pPr>
        <w:pStyle w:val="NormalWeb"/>
        <w:tabs>
          <w:tab w:val="clear" w:pos="737"/>
        </w:tabs>
        <w:spacing w:before="120" w:after="120" w:line="480" w:lineRule="auto"/>
        <w:ind w:left="0"/>
        <w:jc w:val="left"/>
        <w:rPr>
          <w:rFonts w:ascii="Trebuchet MS" w:hAnsi="Trebuchet MS"/>
          <w:b/>
          <w:bCs/>
          <w:lang w:val="ro-RO" w:eastAsia="ar-SA"/>
        </w:rPr>
      </w:pPr>
      <w:r w:rsidRPr="00AB5BC9">
        <w:rPr>
          <w:rFonts w:ascii="Trebuchet MS" w:hAnsi="Trebuchet MS"/>
          <w:b/>
          <w:bCs/>
          <w:lang w:val="ro-RO" w:eastAsia="ar-SA"/>
        </w:rPr>
        <w:t>Interior finishes</w:t>
      </w:r>
    </w:p>
    <w:p w14:paraId="6465659A" w14:textId="77777777" w:rsidR="007775A8" w:rsidRPr="00AB5BC9" w:rsidRDefault="007775A8" w:rsidP="00AB5BC9">
      <w:pPr>
        <w:spacing w:before="120" w:after="120" w:line="240" w:lineRule="auto"/>
        <w:jc w:val="both"/>
        <w:rPr>
          <w:rFonts w:ascii="Trebuchet MS" w:eastAsia="Times New Roman" w:hAnsi="Trebuchet MS"/>
          <w:sz w:val="22"/>
          <w:szCs w:val="22"/>
          <w:lang w:eastAsia="ro-RO"/>
        </w:rPr>
      </w:pPr>
      <w:r w:rsidRPr="00AB5BC9">
        <w:rPr>
          <w:rFonts w:ascii="Trebuchet MS" w:eastAsia="Times New Roman" w:hAnsi="Trebuchet MS"/>
          <w:sz w:val="22"/>
          <w:szCs w:val="22"/>
          <w:lang w:eastAsia="ro-RO"/>
        </w:rPr>
        <w:t>The finishes will be appropriate to the specifics of laboratory activities and will allow for easy sanitation:</w:t>
      </w:r>
    </w:p>
    <w:p w14:paraId="20F7A874" w14:textId="3C5270C0" w:rsidR="007775A8" w:rsidRPr="00AB5BC9" w:rsidRDefault="007775A8" w:rsidP="00AB5BC9">
      <w:pPr>
        <w:numPr>
          <w:ilvl w:val="0"/>
          <w:numId w:val="5"/>
        </w:num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lastRenderedPageBreak/>
        <w:t xml:space="preserve">the floors will be made differently, depending on the purpose of the spaces, using either ceramic tiles or homogeneous PVC </w:t>
      </w:r>
      <w:r w:rsidR="00546C6D">
        <w:rPr>
          <w:rFonts w:ascii="Trebuchet MS" w:eastAsia="Times New Roman" w:hAnsi="Trebuchet MS" w:cs="Times New Roman"/>
          <w:sz w:val="22"/>
          <w:szCs w:val="22"/>
          <w:lang w:eastAsia="ro-RO"/>
        </w:rPr>
        <w:t>flooring</w:t>
      </w:r>
      <w:r w:rsidRPr="00AB5BC9">
        <w:rPr>
          <w:rFonts w:ascii="Trebuchet MS" w:eastAsia="Times New Roman" w:hAnsi="Trebuchet MS" w:cs="Times New Roman"/>
          <w:sz w:val="22"/>
          <w:szCs w:val="22"/>
          <w:lang w:eastAsia="ro-RO"/>
        </w:rPr>
        <w:t xml:space="preserve"> (including antistatic), or other similar materials, resistant to wear and tear and the action of chemical substances;</w:t>
      </w:r>
    </w:p>
    <w:p w14:paraId="58062602" w14:textId="77777777" w:rsidR="007775A8" w:rsidRPr="00AB5BC9" w:rsidRDefault="007775A8" w:rsidP="00AB5BC9">
      <w:pPr>
        <w:numPr>
          <w:ilvl w:val="0"/>
          <w:numId w:val="5"/>
        </w:num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walls finished with washable paints or special moisture-resistant coatings;</w:t>
      </w:r>
    </w:p>
    <w:p w14:paraId="7EECF995" w14:textId="77777777" w:rsidR="007775A8" w:rsidRPr="00AB5BC9" w:rsidRDefault="007775A8" w:rsidP="00AB5BC9">
      <w:pPr>
        <w:numPr>
          <w:ilvl w:val="0"/>
          <w:numId w:val="5"/>
        </w:num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plasterboard ceilings or cassette systems for access to installations;</w:t>
      </w:r>
    </w:p>
    <w:p w14:paraId="642FC7AE" w14:textId="718484C0" w:rsidR="007775A8" w:rsidRPr="00AB5BC9" w:rsidRDefault="007775A8" w:rsidP="00AB5BC9">
      <w:pPr>
        <w:numPr>
          <w:ilvl w:val="0"/>
          <w:numId w:val="5"/>
        </w:num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in areas with special requirements, continuous finishes (e.g. epoxy resins or PVC) will be used;</w:t>
      </w:r>
    </w:p>
    <w:p w14:paraId="7BB62A2C" w14:textId="4F39EE53" w:rsidR="00226EE6" w:rsidRPr="00AB5BC9" w:rsidRDefault="00226EE6" w:rsidP="00AB5BC9">
      <w:pPr>
        <w:numPr>
          <w:ilvl w:val="0"/>
          <w:numId w:val="5"/>
        </w:num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finishes will be selected to allow easy cleaning, resistance to chemical agents and limitation of dust or contaminants accumulation;</w:t>
      </w:r>
    </w:p>
    <w:p w14:paraId="0C011BBA" w14:textId="3F7004B0" w:rsidR="00226EE6" w:rsidRDefault="00226EE6" w:rsidP="00AB5BC9">
      <w:pPr>
        <w:numPr>
          <w:ilvl w:val="0"/>
          <w:numId w:val="5"/>
        </w:num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In technical and laboratory areas, consideration will be given to the use of materials compatible with the security, operation and maintenance requirements specific to the activities carried out.</w:t>
      </w:r>
    </w:p>
    <w:p w14:paraId="705BC849" w14:textId="7C6D020B" w:rsidR="00BA65A0" w:rsidRPr="00AB5BC9" w:rsidRDefault="00BA65A0" w:rsidP="00937776">
      <w:pPr>
        <w:spacing w:before="120" w:after="120" w:line="240" w:lineRule="auto"/>
        <w:ind w:left="360"/>
        <w:jc w:val="both"/>
        <w:rPr>
          <w:rFonts w:ascii="Trebuchet MS" w:eastAsia="Times New Roman" w:hAnsi="Trebuchet MS" w:cs="Times New Roman"/>
          <w:sz w:val="22"/>
          <w:szCs w:val="22"/>
          <w:lang w:eastAsia="ro-RO"/>
        </w:rPr>
      </w:pPr>
      <w:r w:rsidRPr="00BA65A0">
        <w:rPr>
          <w:rFonts w:ascii="Trebuchet MS" w:eastAsia="Times New Roman" w:hAnsi="Trebuchet MS" w:cs="Times New Roman"/>
          <w:sz w:val="22"/>
          <w:szCs w:val="22"/>
          <w:lang w:eastAsia="ro-RO"/>
        </w:rPr>
        <w:t>The above descriptions are indicative only. Depending on the specific function and requirements of each room, finishes shall be selected using appropriate materials.</w:t>
      </w:r>
    </w:p>
    <w:p w14:paraId="180C5679" w14:textId="77777777" w:rsidR="007775A8" w:rsidRPr="00AB5BC9" w:rsidRDefault="007775A8" w:rsidP="00AB5BC9">
      <w:pPr>
        <w:spacing w:before="120" w:after="120" w:line="240" w:lineRule="auto"/>
        <w:jc w:val="both"/>
        <w:rPr>
          <w:rFonts w:ascii="Trebuchet MS" w:eastAsia="Times New Roman" w:hAnsi="Trebuchet MS" w:cs="Arial"/>
          <w:b/>
          <w:bCs/>
          <w:sz w:val="22"/>
          <w:szCs w:val="22"/>
        </w:rPr>
      </w:pPr>
    </w:p>
    <w:p w14:paraId="2C5E27E4" w14:textId="77777777" w:rsidR="007775A8" w:rsidRPr="00AB5BC9" w:rsidRDefault="007775A8" w:rsidP="00AB5BC9">
      <w:pPr>
        <w:pStyle w:val="NormalWeb"/>
        <w:tabs>
          <w:tab w:val="clear" w:pos="737"/>
        </w:tabs>
        <w:spacing w:before="120" w:after="120" w:line="480" w:lineRule="auto"/>
        <w:ind w:left="0"/>
        <w:jc w:val="left"/>
        <w:rPr>
          <w:rFonts w:ascii="Trebuchet MS" w:hAnsi="Trebuchet MS"/>
          <w:b/>
          <w:bCs/>
          <w:lang w:val="ro-RO" w:eastAsia="ar-SA"/>
        </w:rPr>
      </w:pPr>
      <w:r w:rsidRPr="00AB5BC9">
        <w:rPr>
          <w:rFonts w:ascii="Trebuchet MS" w:hAnsi="Trebuchet MS"/>
          <w:b/>
          <w:bCs/>
          <w:lang w:val="ro-RO" w:eastAsia="ar-SA"/>
        </w:rPr>
        <w:t>Facilities and technical infrastructure</w:t>
      </w:r>
    </w:p>
    <w:p w14:paraId="332D17B1" w14:textId="77777777" w:rsidR="007775A8" w:rsidRPr="00AB5BC9" w:rsidRDefault="007775A8" w:rsidP="00AB5BC9">
      <w:pPr>
        <w:spacing w:before="120" w:after="120" w:line="240" w:lineRule="auto"/>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The building will be equipped with:</w:t>
      </w:r>
    </w:p>
    <w:p w14:paraId="63F2AE2D" w14:textId="77777777" w:rsidR="007775A8" w:rsidRPr="003A507F" w:rsidRDefault="007775A8" w:rsidP="00AB5BC9">
      <w:pPr>
        <w:pStyle w:val="ListParagraph"/>
        <w:widowControl w:val="0"/>
        <w:numPr>
          <w:ilvl w:val="0"/>
          <w:numId w:val="6"/>
        </w:numPr>
        <w:suppressAutoHyphens/>
        <w:overflowPunct w:val="0"/>
        <w:autoSpaceDE w:val="0"/>
        <w:spacing w:before="120" w:after="120" w:line="240" w:lineRule="auto"/>
        <w:contextualSpacing w:val="0"/>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heating, ventilation and air conditioning (HVAC) installations;</w:t>
      </w:r>
    </w:p>
    <w:p w14:paraId="7010DC1F" w14:textId="54B8D1FE" w:rsidR="007775A8" w:rsidRPr="003A507F" w:rsidRDefault="00784452" w:rsidP="00AB5BC9">
      <w:pPr>
        <w:pStyle w:val="ListParagraph"/>
        <w:widowControl w:val="0"/>
        <w:numPr>
          <w:ilvl w:val="0"/>
          <w:numId w:val="6"/>
        </w:numPr>
        <w:suppressAutoHyphens/>
        <w:overflowPunct w:val="0"/>
        <w:autoSpaceDE w:val="0"/>
        <w:spacing w:before="120" w:after="120" w:line="240" w:lineRule="auto"/>
        <w:contextualSpacing w:val="0"/>
        <w:textAlignment w:val="baseline"/>
        <w:rPr>
          <w:rFonts w:ascii="Trebuchet MS" w:eastAsia="Times New Roman" w:hAnsi="Trebuchet MS"/>
          <w:sz w:val="22"/>
          <w:szCs w:val="22"/>
          <w:lang w:eastAsia="ro-RO"/>
        </w:rPr>
      </w:pPr>
      <w:r w:rsidRPr="00784452">
        <w:rPr>
          <w:rFonts w:ascii="Trebuchet MS" w:eastAsia="Times New Roman" w:hAnsi="Trebuchet MS"/>
          <w:sz w:val="22"/>
          <w:szCs w:val="22"/>
          <w:lang w:eastAsia="ro-RO"/>
        </w:rPr>
        <w:t>plumbing systems and process water distribution networks</w:t>
      </w:r>
      <w:r w:rsidR="007775A8" w:rsidRPr="003A507F">
        <w:rPr>
          <w:rFonts w:ascii="Trebuchet MS" w:eastAsia="Times New Roman" w:hAnsi="Trebuchet MS"/>
          <w:sz w:val="22"/>
          <w:szCs w:val="22"/>
          <w:lang w:eastAsia="ro-RO"/>
        </w:rPr>
        <w:t>;</w:t>
      </w:r>
    </w:p>
    <w:p w14:paraId="51D9810E" w14:textId="77777777" w:rsidR="007775A8" w:rsidRPr="003A507F" w:rsidRDefault="007775A8" w:rsidP="00AB5BC9">
      <w:pPr>
        <w:pStyle w:val="ListParagraph"/>
        <w:widowControl w:val="0"/>
        <w:numPr>
          <w:ilvl w:val="0"/>
          <w:numId w:val="6"/>
        </w:numPr>
        <w:suppressAutoHyphens/>
        <w:overflowPunct w:val="0"/>
        <w:autoSpaceDE w:val="0"/>
        <w:spacing w:before="120" w:after="120" w:line="240" w:lineRule="auto"/>
        <w:contextualSpacing w:val="0"/>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electrical installations with backup system (generator) and UPS for critical equipment;</w:t>
      </w:r>
    </w:p>
    <w:p w14:paraId="2038D03A" w14:textId="77777777" w:rsidR="007775A8" w:rsidRPr="003A507F" w:rsidRDefault="007775A8" w:rsidP="00AB5BC9">
      <w:pPr>
        <w:pStyle w:val="ListParagraph"/>
        <w:widowControl w:val="0"/>
        <w:numPr>
          <w:ilvl w:val="0"/>
          <w:numId w:val="6"/>
        </w:numPr>
        <w:suppressAutoHyphens/>
        <w:overflowPunct w:val="0"/>
        <w:autoSpaceDE w:val="0"/>
        <w:spacing w:before="120" w:after="120" w:line="240" w:lineRule="auto"/>
        <w:contextualSpacing w:val="0"/>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energy-efficient LED lighting systems;</w:t>
      </w:r>
    </w:p>
    <w:p w14:paraId="3E990841" w14:textId="07A3E17A" w:rsidR="007775A8" w:rsidRPr="003A507F" w:rsidRDefault="007775A8" w:rsidP="00AB5BC9">
      <w:pPr>
        <w:pStyle w:val="ListParagraph"/>
        <w:widowControl w:val="0"/>
        <w:numPr>
          <w:ilvl w:val="0"/>
          <w:numId w:val="6"/>
        </w:numPr>
        <w:suppressAutoHyphens/>
        <w:overflowPunct w:val="0"/>
        <w:autoSpaceDE w:val="0"/>
        <w:spacing w:before="120" w:after="120" w:line="240" w:lineRule="auto"/>
        <w:contextualSpacing w:val="0"/>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low-</w:t>
      </w:r>
      <w:r w:rsidR="00546C6D">
        <w:rPr>
          <w:rFonts w:ascii="Trebuchet MS" w:eastAsia="Times New Roman" w:hAnsi="Trebuchet MS"/>
          <w:sz w:val="22"/>
          <w:szCs w:val="22"/>
          <w:lang w:eastAsia="ro-RO"/>
        </w:rPr>
        <w:t>voltage</w:t>
      </w:r>
      <w:r w:rsidRPr="003A507F">
        <w:rPr>
          <w:rFonts w:ascii="Trebuchet MS" w:eastAsia="Times New Roman" w:hAnsi="Trebuchet MS"/>
          <w:sz w:val="22"/>
          <w:szCs w:val="22"/>
          <w:lang w:eastAsia="ro-RO"/>
        </w:rPr>
        <w:t xml:space="preserve"> </w:t>
      </w:r>
      <w:r w:rsidR="00784452">
        <w:rPr>
          <w:rFonts w:ascii="Trebuchet MS" w:eastAsia="Times New Roman" w:hAnsi="Trebuchet MS"/>
          <w:sz w:val="22"/>
          <w:szCs w:val="22"/>
          <w:lang w:eastAsia="ro-RO"/>
        </w:rPr>
        <w:t>system</w:t>
      </w:r>
      <w:r w:rsidR="0030069E">
        <w:rPr>
          <w:rFonts w:ascii="Trebuchet MS" w:eastAsia="Times New Roman" w:hAnsi="Trebuchet MS"/>
          <w:sz w:val="22"/>
          <w:szCs w:val="22"/>
          <w:lang w:eastAsia="ro-RO"/>
        </w:rPr>
        <w:t>s</w:t>
      </w:r>
      <w:r w:rsidRPr="003A507F">
        <w:rPr>
          <w:rFonts w:ascii="Trebuchet MS" w:eastAsia="Times New Roman" w:hAnsi="Trebuchet MS"/>
          <w:sz w:val="22"/>
          <w:szCs w:val="22"/>
          <w:lang w:eastAsia="ro-RO"/>
        </w:rPr>
        <w:t xml:space="preserve"> (voice-data, optical fiber);</w:t>
      </w:r>
    </w:p>
    <w:p w14:paraId="72A85082" w14:textId="77777777" w:rsidR="00226EE6" w:rsidRPr="003A507F" w:rsidRDefault="00226EE6" w:rsidP="00AB5BC9">
      <w:pPr>
        <w:pStyle w:val="ListParagraph"/>
        <w:widowControl w:val="0"/>
        <w:numPr>
          <w:ilvl w:val="0"/>
          <w:numId w:val="6"/>
        </w:numPr>
        <w:suppressAutoHyphens/>
        <w:overflowPunct w:val="0"/>
        <w:autoSpaceDE w:val="0"/>
        <w:spacing w:before="120" w:after="120" w:line="240" w:lineRule="auto"/>
        <w:contextualSpacing w:val="0"/>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systems for the distribution and monitoring of technical gases, as appropriate;</w:t>
      </w:r>
    </w:p>
    <w:p w14:paraId="3E2580CA" w14:textId="42E93F4F" w:rsidR="00226EE6" w:rsidRPr="003A507F" w:rsidRDefault="00226EE6" w:rsidP="00AB5BC9">
      <w:pPr>
        <w:pStyle w:val="ListParagraph"/>
        <w:widowControl w:val="0"/>
        <w:numPr>
          <w:ilvl w:val="0"/>
          <w:numId w:val="6"/>
        </w:numPr>
        <w:suppressAutoHyphens/>
        <w:overflowPunct w:val="0"/>
        <w:autoSpaceDE w:val="0"/>
        <w:spacing w:before="120" w:after="120" w:line="240" w:lineRule="auto"/>
        <w:contextualSpacing w:val="0"/>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systems for the production and distribution of purified/ultrapure water required for analyses;</w:t>
      </w:r>
    </w:p>
    <w:p w14:paraId="3FCA9F13" w14:textId="127AAC2C" w:rsidR="00226EE6" w:rsidRPr="003A507F" w:rsidRDefault="00226EE6" w:rsidP="00AB5BC9">
      <w:pPr>
        <w:pStyle w:val="ListParagraph"/>
        <w:widowControl w:val="0"/>
        <w:numPr>
          <w:ilvl w:val="0"/>
          <w:numId w:val="6"/>
        </w:numPr>
        <w:suppressAutoHyphens/>
        <w:overflowPunct w:val="0"/>
        <w:autoSpaceDE w:val="0"/>
        <w:spacing w:before="120" w:after="120" w:line="240" w:lineRule="auto"/>
        <w:contextualSpacing w:val="0"/>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 xml:space="preserve">networks for the collection and, where appropriate, pre-treatment of </w:t>
      </w:r>
      <w:r w:rsidR="00784452">
        <w:rPr>
          <w:rFonts w:ascii="Trebuchet MS" w:eastAsia="Times New Roman" w:hAnsi="Trebuchet MS"/>
          <w:sz w:val="22"/>
          <w:szCs w:val="22"/>
          <w:lang w:eastAsia="ro-RO"/>
        </w:rPr>
        <w:t>laboratory</w:t>
      </w:r>
      <w:r w:rsidRPr="003A507F">
        <w:rPr>
          <w:rFonts w:ascii="Trebuchet MS" w:eastAsia="Times New Roman" w:hAnsi="Trebuchet MS"/>
          <w:sz w:val="22"/>
          <w:szCs w:val="22"/>
          <w:lang w:eastAsia="ro-RO"/>
        </w:rPr>
        <w:t xml:space="preserve"> wastewater;</w:t>
      </w:r>
    </w:p>
    <w:p w14:paraId="0CBBA85D" w14:textId="69CEC967" w:rsidR="00226EE6" w:rsidRPr="003A507F" w:rsidRDefault="00226EE6" w:rsidP="00AB5BC9">
      <w:pPr>
        <w:pStyle w:val="ListParagraph"/>
        <w:widowControl w:val="0"/>
        <w:numPr>
          <w:ilvl w:val="0"/>
          <w:numId w:val="6"/>
        </w:numPr>
        <w:suppressAutoHyphens/>
        <w:overflowPunct w:val="0"/>
        <w:autoSpaceDE w:val="0"/>
        <w:spacing w:before="120" w:after="120" w:line="240" w:lineRule="auto"/>
        <w:contextualSpacing w:val="0"/>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 xml:space="preserve">automation, monitoring and </w:t>
      </w:r>
      <w:r w:rsidR="0030069E">
        <w:rPr>
          <w:rFonts w:ascii="Trebuchet MS" w:eastAsia="Times New Roman" w:hAnsi="Trebuchet MS"/>
          <w:sz w:val="22"/>
          <w:szCs w:val="22"/>
          <w:lang w:eastAsia="ro-RO"/>
        </w:rPr>
        <w:t>B</w:t>
      </w:r>
      <w:r w:rsidRPr="003A507F">
        <w:rPr>
          <w:rFonts w:ascii="Trebuchet MS" w:eastAsia="Times New Roman" w:hAnsi="Trebuchet MS"/>
          <w:sz w:val="22"/>
          <w:szCs w:val="22"/>
          <w:lang w:eastAsia="ro-RO"/>
        </w:rPr>
        <w:t xml:space="preserve">uilding </w:t>
      </w:r>
      <w:r w:rsidR="0030069E">
        <w:rPr>
          <w:rFonts w:ascii="Trebuchet MS" w:eastAsia="Times New Roman" w:hAnsi="Trebuchet MS"/>
          <w:sz w:val="22"/>
          <w:szCs w:val="22"/>
          <w:lang w:eastAsia="ro-RO"/>
        </w:rPr>
        <w:t>M</w:t>
      </w:r>
      <w:r w:rsidRPr="003A507F">
        <w:rPr>
          <w:rFonts w:ascii="Trebuchet MS" w:eastAsia="Times New Roman" w:hAnsi="Trebuchet MS"/>
          <w:sz w:val="22"/>
          <w:szCs w:val="22"/>
          <w:lang w:eastAsia="ro-RO"/>
        </w:rPr>
        <w:t xml:space="preserve">anagement </w:t>
      </w:r>
      <w:r w:rsidR="0030069E">
        <w:rPr>
          <w:rFonts w:ascii="Trebuchet MS" w:eastAsia="Times New Roman" w:hAnsi="Trebuchet MS"/>
          <w:sz w:val="22"/>
          <w:szCs w:val="22"/>
          <w:lang w:eastAsia="ro-RO"/>
        </w:rPr>
        <w:t>S</w:t>
      </w:r>
      <w:r w:rsidRPr="003A507F">
        <w:rPr>
          <w:rFonts w:ascii="Trebuchet MS" w:eastAsia="Times New Roman" w:hAnsi="Trebuchet MS"/>
          <w:sz w:val="22"/>
          <w:szCs w:val="22"/>
          <w:lang w:eastAsia="ro-RO"/>
        </w:rPr>
        <w:t>ystems (BMS), depending on the technical solution adopted.</w:t>
      </w:r>
    </w:p>
    <w:p w14:paraId="1D37383C" w14:textId="77777777" w:rsidR="00FB48EA" w:rsidRPr="003A507F" w:rsidRDefault="00FB48EA" w:rsidP="00AB5BC9">
      <w:pPr>
        <w:pStyle w:val="NormalWeb"/>
        <w:tabs>
          <w:tab w:val="clear" w:pos="737"/>
        </w:tabs>
        <w:spacing w:before="120" w:after="120" w:line="240" w:lineRule="auto"/>
        <w:ind w:left="0"/>
        <w:jc w:val="left"/>
        <w:rPr>
          <w:rFonts w:ascii="Trebuchet MS" w:hAnsi="Trebuchet MS"/>
          <w:b/>
          <w:bCs/>
          <w:sz w:val="22"/>
          <w:szCs w:val="22"/>
          <w:lang w:val="ro-RO" w:eastAsia="ar-SA"/>
        </w:rPr>
      </w:pPr>
    </w:p>
    <w:p w14:paraId="6342B40A" w14:textId="3A45A77D" w:rsidR="007775A8" w:rsidRPr="00AB5BC9" w:rsidRDefault="007775A8" w:rsidP="00AB5BC9">
      <w:pPr>
        <w:pStyle w:val="NormalWeb"/>
        <w:tabs>
          <w:tab w:val="clear" w:pos="737"/>
        </w:tabs>
        <w:spacing w:before="120" w:after="120" w:line="480" w:lineRule="auto"/>
        <w:ind w:left="0"/>
        <w:jc w:val="left"/>
        <w:rPr>
          <w:rFonts w:ascii="Trebuchet MS" w:hAnsi="Trebuchet MS"/>
          <w:b/>
          <w:bCs/>
          <w:lang w:val="ro-RO" w:eastAsia="ar-SA"/>
        </w:rPr>
      </w:pPr>
      <w:r w:rsidRPr="00AB5BC9">
        <w:rPr>
          <w:rFonts w:ascii="Trebuchet MS" w:hAnsi="Trebuchet MS"/>
          <w:b/>
          <w:bCs/>
          <w:lang w:val="ro-RO" w:eastAsia="ar-SA"/>
        </w:rPr>
        <w:t>Ventilation and air conditioning</w:t>
      </w:r>
    </w:p>
    <w:p w14:paraId="1101C7AA" w14:textId="34052C43" w:rsidR="007775A8" w:rsidRPr="00AB5BC9" w:rsidRDefault="007775A8" w:rsidP="00AB5BC9">
      <w:p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 xml:space="preserve">HVAC systems will be sized according to the intended use of the spaces, to ensure optimal working conditions. Air handling units will be used for fresh air supply and adequate filtration. The </w:t>
      </w:r>
      <w:r w:rsidR="00BA65A0" w:rsidRPr="00BA65A0">
        <w:rPr>
          <w:rFonts w:ascii="Trebuchet MS" w:eastAsia="Times New Roman" w:hAnsi="Trebuchet MS" w:cs="Times New Roman"/>
          <w:sz w:val="22"/>
          <w:szCs w:val="22"/>
          <w:lang w:eastAsia="ro-RO"/>
        </w:rPr>
        <w:t>Rooms designated for laboratory activities</w:t>
      </w:r>
      <w:r w:rsidRPr="00AB5BC9">
        <w:rPr>
          <w:rFonts w:ascii="Trebuchet MS" w:eastAsia="Times New Roman" w:hAnsi="Trebuchet MS" w:cs="Times New Roman"/>
          <w:sz w:val="22"/>
          <w:szCs w:val="22"/>
          <w:lang w:eastAsia="ro-RO"/>
        </w:rPr>
        <w:t xml:space="preserve"> will be provided with:</w:t>
      </w:r>
    </w:p>
    <w:p w14:paraId="0C558B0B" w14:textId="77777777" w:rsidR="007775A8" w:rsidRPr="003A507F" w:rsidRDefault="007775A8"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general and local ventilation systems;</w:t>
      </w:r>
    </w:p>
    <w:p w14:paraId="48C3E702" w14:textId="77777777" w:rsidR="007775A8" w:rsidRPr="003A507F" w:rsidRDefault="007775A8"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laboratory hoods and controlled air exhaust systems;</w:t>
      </w:r>
    </w:p>
    <w:p w14:paraId="1E82128B" w14:textId="77777777" w:rsidR="007775A8" w:rsidRPr="003A507F" w:rsidRDefault="007775A8"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temperature and humidity control, through energy-efficient systems;</w:t>
      </w:r>
    </w:p>
    <w:p w14:paraId="7F0E17AA" w14:textId="1C3BB87F" w:rsidR="007775A8" w:rsidRPr="003A507F" w:rsidRDefault="007775A8"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adequate air filtration (depending on the requirements of the premises);</w:t>
      </w:r>
    </w:p>
    <w:p w14:paraId="60A40C63" w14:textId="77777777" w:rsidR="00226EE6" w:rsidRPr="003A507F" w:rsidRDefault="00226EE6"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differentiating ventilation and pressure regimes between clean areas, technical areas and spaces with chemical or biological risk;</w:t>
      </w:r>
    </w:p>
    <w:p w14:paraId="107C0F7B" w14:textId="1637C090" w:rsidR="00226EE6" w:rsidRPr="003A507F" w:rsidRDefault="00226EE6"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 xml:space="preserve">avoiding air recirculation from spaces with chemical or biological risk, where technical </w:t>
      </w:r>
      <w:r w:rsidRPr="003A507F">
        <w:rPr>
          <w:rFonts w:ascii="Trebuchet MS" w:eastAsia="Times New Roman" w:hAnsi="Trebuchet MS"/>
          <w:sz w:val="22"/>
          <w:szCs w:val="22"/>
          <w:lang w:eastAsia="ro-RO"/>
        </w:rPr>
        <w:lastRenderedPageBreak/>
        <w:t>regulations and risk analysis require controlled evacuation;</w:t>
      </w:r>
    </w:p>
    <w:p w14:paraId="0FAF9D39" w14:textId="6BE7716D" w:rsidR="00226EE6" w:rsidRPr="003A507F" w:rsidRDefault="00226EE6"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monitoring environmental parameters relevant to the operation of equipment and the conduct of analyses.</w:t>
      </w:r>
    </w:p>
    <w:p w14:paraId="5AAEC54C" w14:textId="77777777" w:rsidR="007775A8" w:rsidRPr="003A507F" w:rsidRDefault="007775A8" w:rsidP="00AB5BC9">
      <w:pPr>
        <w:pStyle w:val="NormalWeb"/>
        <w:tabs>
          <w:tab w:val="clear" w:pos="737"/>
        </w:tabs>
        <w:spacing w:before="120" w:after="120" w:line="240" w:lineRule="auto"/>
        <w:ind w:left="0"/>
        <w:jc w:val="left"/>
        <w:rPr>
          <w:rFonts w:ascii="Trebuchet MS" w:hAnsi="Trebuchet MS"/>
          <w:b/>
          <w:bCs/>
          <w:sz w:val="22"/>
          <w:szCs w:val="22"/>
          <w:lang w:val="ro-RO" w:eastAsia="ar-SA"/>
        </w:rPr>
      </w:pPr>
    </w:p>
    <w:p w14:paraId="7DD3EE37" w14:textId="77777777" w:rsidR="007775A8" w:rsidRPr="00AB5BC9" w:rsidRDefault="007775A8" w:rsidP="00AB5BC9">
      <w:pPr>
        <w:pStyle w:val="NormalWeb"/>
        <w:tabs>
          <w:tab w:val="clear" w:pos="737"/>
        </w:tabs>
        <w:spacing w:before="120" w:after="120" w:line="480" w:lineRule="auto"/>
        <w:ind w:left="0"/>
        <w:jc w:val="left"/>
        <w:rPr>
          <w:rFonts w:ascii="Trebuchet MS" w:hAnsi="Trebuchet MS"/>
          <w:b/>
          <w:bCs/>
          <w:lang w:val="ro-RO" w:eastAsia="ar-SA"/>
        </w:rPr>
      </w:pPr>
      <w:r w:rsidRPr="00AB5BC9">
        <w:rPr>
          <w:rFonts w:ascii="Trebuchet MS" w:hAnsi="Trebuchet MS"/>
          <w:b/>
          <w:bCs/>
          <w:lang w:val="ro-RO" w:eastAsia="ar-SA"/>
        </w:rPr>
        <w:t>Energy efficiency</w:t>
      </w:r>
    </w:p>
    <w:p w14:paraId="1F4F8269" w14:textId="77777777" w:rsidR="007775A8" w:rsidRPr="00AB5BC9" w:rsidRDefault="007775A8" w:rsidP="00AB5BC9">
      <w:p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The building will be designed and constructed in accordance with the requirements for nearly zero-energy buildings (nZEB), in accordance with the national legislation in force on the energy performance of buildings. The energy performance parameters (primary energy consumption, CO₂ emissions, renewable energy share) will be established and demonstrated through the energy performance certificate and technical documentation developed during the Feasibility Study stage. In order to achieve these requirements, the following measures will be taken into account:</w:t>
      </w:r>
    </w:p>
    <w:p w14:paraId="484AAECA" w14:textId="08348911" w:rsidR="007775A8" w:rsidRPr="003A507F" w:rsidRDefault="007775A8"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using a high-performance building envelope (walls, roof</w:t>
      </w:r>
      <w:r w:rsidR="0030069E">
        <w:rPr>
          <w:rFonts w:ascii="Trebuchet MS" w:eastAsia="Times New Roman" w:hAnsi="Trebuchet MS"/>
          <w:sz w:val="22"/>
          <w:szCs w:val="22"/>
          <w:lang w:eastAsia="ro-RO"/>
        </w:rPr>
        <w:t xml:space="preserve"> </w:t>
      </w:r>
      <w:r w:rsidR="0030069E" w:rsidRPr="0030069E">
        <w:rPr>
          <w:rFonts w:ascii="Trebuchet MS" w:eastAsia="Times New Roman" w:hAnsi="Trebuchet MS"/>
          <w:sz w:val="22"/>
          <w:szCs w:val="22"/>
          <w:lang w:eastAsia="ro-RO"/>
        </w:rPr>
        <w:t>and windows</w:t>
      </w:r>
      <w:r w:rsidRPr="003A507F">
        <w:rPr>
          <w:rFonts w:ascii="Trebuchet MS" w:eastAsia="Times New Roman" w:hAnsi="Trebuchet MS"/>
          <w:sz w:val="22"/>
          <w:szCs w:val="22"/>
          <w:lang w:eastAsia="ro-RO"/>
        </w:rPr>
        <w:t>), reducing energy losses and limiting thermal bridges;</w:t>
      </w:r>
    </w:p>
    <w:p w14:paraId="74206182" w14:textId="77777777" w:rsidR="007775A8" w:rsidRPr="003A507F" w:rsidRDefault="007775A8"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the use of high-efficiency HVAC systems, adapted to the laboratory function, including exhaust air heat recovery systems;</w:t>
      </w:r>
    </w:p>
    <w:p w14:paraId="1949A82C" w14:textId="77777777" w:rsidR="007775A8" w:rsidRPr="003A507F" w:rsidRDefault="007775A8"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integration of renewable energy sources (photovoltaic and/or solar panels), sized according to the building's energy needs;</w:t>
      </w:r>
    </w:p>
    <w:p w14:paraId="39C561D9" w14:textId="7EE6CB8D" w:rsidR="007775A8" w:rsidRPr="003A507F" w:rsidRDefault="007775A8"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use of LED lighting and efficient systems;</w:t>
      </w:r>
    </w:p>
    <w:p w14:paraId="771BCF44" w14:textId="30AD1578" w:rsidR="00226EE6" w:rsidRPr="003A507F" w:rsidRDefault="00226EE6"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analysis of the possibilities for energy recovery and optimization of specific laboratory consumption, taking into account the continuous operation of critical equipment and systems;</w:t>
      </w:r>
    </w:p>
    <w:p w14:paraId="64478EB5" w14:textId="77777777" w:rsidR="007775A8" w:rsidRPr="003A507F" w:rsidRDefault="007775A8" w:rsidP="00AB5BC9">
      <w:pPr>
        <w:pStyle w:val="ListParagraph"/>
        <w:widowControl w:val="0"/>
        <w:numPr>
          <w:ilvl w:val="0"/>
          <w:numId w:val="7"/>
        </w:numPr>
        <w:suppressAutoHyphens/>
        <w:overflowPunct w:val="0"/>
        <w:autoSpaceDE w:val="0"/>
        <w:spacing w:before="120" w:after="120" w:line="240" w:lineRule="auto"/>
        <w:contextualSpacing w:val="0"/>
        <w:jc w:val="both"/>
        <w:textAlignment w:val="baseline"/>
        <w:rPr>
          <w:rFonts w:ascii="Trebuchet MS" w:eastAsia="Times New Roman" w:hAnsi="Trebuchet MS"/>
          <w:sz w:val="22"/>
          <w:szCs w:val="22"/>
          <w:lang w:eastAsia="ro-RO"/>
        </w:rPr>
      </w:pPr>
      <w:r w:rsidRPr="003A507F">
        <w:rPr>
          <w:rFonts w:ascii="Trebuchet MS" w:eastAsia="Times New Roman" w:hAnsi="Trebuchet MS"/>
          <w:sz w:val="22"/>
          <w:szCs w:val="22"/>
          <w:lang w:eastAsia="ro-RO"/>
        </w:rPr>
        <w:t>optimizing energy consumption and reducing carbon emissions.</w:t>
      </w:r>
    </w:p>
    <w:p w14:paraId="43537E32" w14:textId="77777777" w:rsidR="00226EE6" w:rsidRPr="00AB5BC9" w:rsidRDefault="00226EE6" w:rsidP="00AB5BC9">
      <w:pPr>
        <w:spacing w:before="120" w:after="120" w:line="240" w:lineRule="auto"/>
        <w:jc w:val="both"/>
        <w:rPr>
          <w:rFonts w:ascii="Trebuchet MS" w:eastAsia="Times New Roman" w:hAnsi="Trebuchet MS" w:cs="Arial"/>
          <w:sz w:val="22"/>
          <w:szCs w:val="22"/>
        </w:rPr>
      </w:pPr>
    </w:p>
    <w:p w14:paraId="5BBDD64E" w14:textId="77777777" w:rsidR="00784452" w:rsidRDefault="00784452" w:rsidP="00784452">
      <w:pPr>
        <w:pStyle w:val="NormalWeb"/>
        <w:tabs>
          <w:tab w:val="clear" w:pos="737"/>
        </w:tabs>
        <w:spacing w:before="120" w:after="120" w:line="480" w:lineRule="auto"/>
        <w:ind w:left="0"/>
        <w:jc w:val="left"/>
        <w:rPr>
          <w:rFonts w:ascii="Trebuchet MS" w:hAnsi="Trebuchet MS"/>
          <w:b/>
          <w:bCs/>
          <w:lang w:val="ro-RO" w:eastAsia="ar-SA"/>
        </w:rPr>
      </w:pPr>
      <w:r w:rsidRPr="00784452">
        <w:rPr>
          <w:rFonts w:ascii="Trebuchet MS" w:hAnsi="Trebuchet MS"/>
          <w:b/>
          <w:bCs/>
          <w:lang w:val="ro-RO" w:eastAsia="ar-SA"/>
        </w:rPr>
        <w:t>Site Development</w:t>
      </w:r>
    </w:p>
    <w:p w14:paraId="617A0B52" w14:textId="457FE37A" w:rsidR="007775A8" w:rsidRPr="007713CE" w:rsidRDefault="008B4B77" w:rsidP="00AB5BC9">
      <w:pPr>
        <w:spacing w:before="120" w:after="120" w:line="240" w:lineRule="auto"/>
        <w:jc w:val="both"/>
        <w:rPr>
          <w:rFonts w:ascii="Trebuchet MS" w:hAnsi="Trebuchet MS"/>
          <w:sz w:val="22"/>
          <w:szCs w:val="22"/>
          <w:lang w:eastAsia="ro-RO"/>
        </w:rPr>
      </w:pPr>
      <w:r w:rsidRPr="008B4B77">
        <w:rPr>
          <w:rFonts w:ascii="Trebuchet MS" w:eastAsia="Times New Roman" w:hAnsi="Trebuchet MS" w:cs="Times New Roman"/>
          <w:sz w:val="22"/>
          <w:szCs w:val="22"/>
          <w:lang w:eastAsia="ro-RO"/>
        </w:rPr>
        <w:t xml:space="preserve">The exterior design </w:t>
      </w:r>
      <w:r w:rsidR="00BA65A0">
        <w:rPr>
          <w:rFonts w:ascii="Trebuchet MS" w:eastAsia="Times New Roman" w:hAnsi="Trebuchet MS" w:cs="Times New Roman"/>
          <w:sz w:val="22"/>
          <w:szCs w:val="22"/>
          <w:lang w:eastAsia="ro-RO"/>
        </w:rPr>
        <w:t>should</w:t>
      </w:r>
      <w:r w:rsidR="00BA65A0" w:rsidRPr="008B4B77">
        <w:rPr>
          <w:rFonts w:ascii="Trebuchet MS" w:eastAsia="Times New Roman" w:hAnsi="Trebuchet MS" w:cs="Times New Roman"/>
          <w:sz w:val="22"/>
          <w:szCs w:val="22"/>
          <w:lang w:eastAsia="ro-RO"/>
        </w:rPr>
        <w:t xml:space="preserve"> </w:t>
      </w:r>
      <w:r w:rsidRPr="008B4B77">
        <w:rPr>
          <w:rFonts w:ascii="Trebuchet MS" w:eastAsia="Times New Roman" w:hAnsi="Trebuchet MS" w:cs="Times New Roman"/>
          <w:sz w:val="22"/>
          <w:szCs w:val="22"/>
          <w:lang w:eastAsia="ro-RO"/>
        </w:rPr>
        <w:t>be designed to ensure the efficient operation of the laboratory, the separation of operational flows, and compliance with safety, environmental, and urban planning requirements.</w:t>
      </w:r>
    </w:p>
    <w:p w14:paraId="22113FB4" w14:textId="77777777" w:rsidR="007775A8" w:rsidRPr="007713CE" w:rsidRDefault="007775A8" w:rsidP="00AB5BC9">
      <w:pPr>
        <w:numPr>
          <w:ilvl w:val="0"/>
          <w:numId w:val="4"/>
        </w:numPr>
        <w:tabs>
          <w:tab w:val="clear" w:pos="720"/>
          <w:tab w:val="num" w:pos="567"/>
        </w:tabs>
        <w:spacing w:before="120" w:after="120" w:line="240" w:lineRule="auto"/>
        <w:ind w:hanging="436"/>
        <w:jc w:val="both"/>
        <w:rPr>
          <w:rFonts w:ascii="Trebuchet MS" w:eastAsia="Times New Roman" w:hAnsi="Trebuchet MS" w:cs="Arial"/>
          <w:sz w:val="22"/>
          <w:szCs w:val="22"/>
        </w:rPr>
      </w:pPr>
      <w:r w:rsidRPr="007713CE">
        <w:rPr>
          <w:rFonts w:ascii="Trebuchet MS" w:eastAsia="Times New Roman" w:hAnsi="Trebuchet MS" w:cs="Arial"/>
          <w:sz w:val="22"/>
          <w:szCs w:val="22"/>
        </w:rPr>
        <w:t>organizing distinct accesses, as follows:</w:t>
      </w:r>
    </w:p>
    <w:p w14:paraId="0AC599FC" w14:textId="77777777" w:rsidR="007775A8" w:rsidRPr="007713CE" w:rsidRDefault="007775A8" w:rsidP="00AB5BC9">
      <w:pPr>
        <w:numPr>
          <w:ilvl w:val="1"/>
          <w:numId w:val="4"/>
        </w:numPr>
        <w:spacing w:before="120" w:after="120" w:line="240" w:lineRule="auto"/>
        <w:jc w:val="both"/>
        <w:rPr>
          <w:rFonts w:ascii="Trebuchet MS" w:eastAsia="Times New Roman" w:hAnsi="Trebuchet MS" w:cs="Arial"/>
          <w:sz w:val="22"/>
          <w:szCs w:val="22"/>
        </w:rPr>
      </w:pPr>
      <w:r w:rsidRPr="007713CE">
        <w:rPr>
          <w:rFonts w:ascii="Trebuchet MS" w:eastAsia="Times New Roman" w:hAnsi="Trebuchet MS" w:cs="Arial"/>
          <w:sz w:val="22"/>
          <w:szCs w:val="22"/>
        </w:rPr>
        <w:t>main access intended for staff and administrative activities;</w:t>
      </w:r>
    </w:p>
    <w:p w14:paraId="59B117DC" w14:textId="77777777" w:rsidR="007775A8" w:rsidRPr="007713CE" w:rsidRDefault="007775A8" w:rsidP="00AB5BC9">
      <w:pPr>
        <w:numPr>
          <w:ilvl w:val="1"/>
          <w:numId w:val="4"/>
        </w:numPr>
        <w:spacing w:before="120" w:after="120" w:line="240" w:lineRule="auto"/>
        <w:jc w:val="both"/>
        <w:rPr>
          <w:rFonts w:ascii="Trebuchet MS" w:eastAsia="Times New Roman" w:hAnsi="Trebuchet MS" w:cs="Arial"/>
          <w:sz w:val="22"/>
          <w:szCs w:val="22"/>
        </w:rPr>
      </w:pPr>
      <w:r w:rsidRPr="007713CE">
        <w:rPr>
          <w:rFonts w:ascii="Trebuchet MS" w:eastAsia="Times New Roman" w:hAnsi="Trebuchet MS" w:cs="Arial"/>
          <w:sz w:val="22"/>
          <w:szCs w:val="22"/>
        </w:rPr>
        <w:t>dedicated logistic access for vans for transporting samples and materials;</w:t>
      </w:r>
    </w:p>
    <w:p w14:paraId="79ED3F6A" w14:textId="751D1F80" w:rsidR="007775A8" w:rsidRDefault="007775A8" w:rsidP="00AB5BC9">
      <w:pPr>
        <w:numPr>
          <w:ilvl w:val="1"/>
          <w:numId w:val="4"/>
        </w:numPr>
        <w:spacing w:before="120" w:after="120" w:line="240" w:lineRule="auto"/>
        <w:jc w:val="both"/>
        <w:rPr>
          <w:rFonts w:ascii="Trebuchet MS" w:eastAsia="Times New Roman" w:hAnsi="Trebuchet MS" w:cs="Arial"/>
          <w:sz w:val="22"/>
          <w:szCs w:val="22"/>
        </w:rPr>
      </w:pPr>
      <w:r w:rsidRPr="007713CE">
        <w:rPr>
          <w:rFonts w:ascii="Trebuchet MS" w:eastAsia="Times New Roman" w:hAnsi="Trebuchet MS" w:cs="Arial"/>
          <w:sz w:val="22"/>
          <w:szCs w:val="22"/>
        </w:rPr>
        <w:t>controlled access for interventions and emergency situations (ISU), according to applicable regulations.</w:t>
      </w:r>
    </w:p>
    <w:p w14:paraId="767C9369" w14:textId="7963F7D1" w:rsidR="006658D8" w:rsidRDefault="006658D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6658D8">
        <w:rPr>
          <w:rFonts w:ascii="Trebuchet MS" w:eastAsia="Times New Roman" w:hAnsi="Trebuchet MS" w:cs="Arial"/>
          <w:sz w:val="22"/>
          <w:szCs w:val="22"/>
        </w:rPr>
        <w:t>provision of accessible pedestrian routes and designated accessible parking spaces, ensuring barrier-free access between the site entrance, parking areas and the building</w:t>
      </w:r>
      <w:r>
        <w:rPr>
          <w:rFonts w:ascii="Trebuchet MS" w:eastAsia="Times New Roman" w:hAnsi="Trebuchet MS" w:cs="Arial"/>
          <w:sz w:val="22"/>
          <w:szCs w:val="22"/>
        </w:rPr>
        <w:t>;</w:t>
      </w:r>
    </w:p>
    <w:p w14:paraId="1C73F8E4" w14:textId="652924FB" w:rsidR="00226EE6" w:rsidRPr="00226EE6" w:rsidRDefault="00226EE6"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226EE6">
        <w:rPr>
          <w:rFonts w:ascii="Trebuchet MS" w:eastAsia="Times New Roman" w:hAnsi="Trebuchet MS" w:cs="Arial"/>
          <w:sz w:val="22"/>
          <w:szCs w:val="22"/>
        </w:rPr>
        <w:t>organizing circulation in such a way as to avoid the intersection of the main flows of personnel and visitors with the logistics, supply and waste disposal flows;</w:t>
      </w:r>
    </w:p>
    <w:p w14:paraId="1DA6C650" w14:textId="77777777" w:rsidR="007775A8" w:rsidRPr="007713CE"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7713CE">
        <w:rPr>
          <w:rFonts w:ascii="Trebuchet MS" w:eastAsia="Times New Roman" w:hAnsi="Trebuchet MS" w:cs="Arial"/>
          <w:sz w:val="22"/>
          <w:szCs w:val="22"/>
        </w:rPr>
        <w:t>creation of green spaces and landscaping;</w:t>
      </w:r>
    </w:p>
    <w:p w14:paraId="2212A7D5" w14:textId="77777777" w:rsidR="007775A8" w:rsidRPr="007713CE"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7713CE">
        <w:rPr>
          <w:rFonts w:ascii="Trebuchet MS" w:eastAsia="Times New Roman" w:hAnsi="Trebuchet MS" w:cs="Arial"/>
          <w:sz w:val="22"/>
          <w:szCs w:val="22"/>
        </w:rPr>
        <w:t>construction of pedestrian walkways and road accesses sized appropriately for specific traffic;</w:t>
      </w:r>
    </w:p>
    <w:p w14:paraId="40BD55C5" w14:textId="6781DD24" w:rsidR="007775A8"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7713CE">
        <w:rPr>
          <w:rFonts w:ascii="Trebuchet MS" w:eastAsia="Times New Roman" w:hAnsi="Trebuchet MS" w:cs="Arial"/>
          <w:sz w:val="22"/>
          <w:szCs w:val="22"/>
        </w:rPr>
        <w:t>vertical systematization of the land;</w:t>
      </w:r>
    </w:p>
    <w:p w14:paraId="7C0D99E6" w14:textId="637BC735" w:rsidR="00226EE6" w:rsidRPr="007713CE" w:rsidRDefault="00226EE6"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226EE6">
        <w:rPr>
          <w:rFonts w:ascii="Trebuchet MS" w:eastAsia="Times New Roman" w:hAnsi="Trebuchet MS" w:cs="Arial"/>
          <w:sz w:val="22"/>
          <w:szCs w:val="22"/>
        </w:rPr>
        <w:t>rainwater management through collection, drainage and controlled discharge solutions, so as to avoid affecting neighboring properties and existing infrastructure.</w:t>
      </w:r>
    </w:p>
    <w:p w14:paraId="3A9033AB" w14:textId="1E961DBD" w:rsidR="007775A8"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7713CE">
        <w:rPr>
          <w:rFonts w:ascii="Trebuchet MS" w:eastAsia="Times New Roman" w:hAnsi="Trebuchet MS" w:cs="Arial"/>
          <w:sz w:val="22"/>
          <w:szCs w:val="22"/>
        </w:rPr>
        <w:lastRenderedPageBreak/>
        <w:t>location and organization of external technical areas, including for the storage of technical gases (cylinders placed in separate boxes, outside the building);</w:t>
      </w:r>
    </w:p>
    <w:p w14:paraId="7FFF9B32" w14:textId="5C359730" w:rsidR="00226EE6" w:rsidRPr="007713CE" w:rsidRDefault="00226EE6"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226EE6">
        <w:rPr>
          <w:rFonts w:ascii="Trebuchet MS" w:eastAsia="Times New Roman" w:hAnsi="Trebuchet MS" w:cs="Arial"/>
          <w:sz w:val="22"/>
          <w:szCs w:val="22"/>
        </w:rPr>
        <w:t>controlled location of areas for temporary storage of waste and materials resulting from laboratory activity, in compliance with environmental and security requirements.</w:t>
      </w:r>
    </w:p>
    <w:p w14:paraId="491AFD70" w14:textId="77777777" w:rsidR="007775A8" w:rsidRPr="007713CE"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7713CE">
        <w:rPr>
          <w:rFonts w:ascii="Trebuchet MS" w:eastAsia="Times New Roman" w:hAnsi="Trebuchet MS" w:cs="Arial"/>
          <w:sz w:val="22"/>
          <w:szCs w:val="22"/>
        </w:rPr>
        <w:t>providing outdoor lighting and security systems (video surveillance, access control).</w:t>
      </w:r>
    </w:p>
    <w:p w14:paraId="55D66503" w14:textId="77777777" w:rsidR="007775A8" w:rsidRPr="00AB5BC9" w:rsidRDefault="007775A8" w:rsidP="00AB5BC9">
      <w:pPr>
        <w:spacing w:before="120" w:after="120" w:line="240" w:lineRule="auto"/>
        <w:jc w:val="both"/>
        <w:rPr>
          <w:rFonts w:ascii="Trebuchet MS" w:eastAsia="Times New Roman" w:hAnsi="Trebuchet MS" w:cs="Arial"/>
          <w:sz w:val="22"/>
          <w:szCs w:val="22"/>
        </w:rPr>
      </w:pPr>
    </w:p>
    <w:p w14:paraId="1CEE1143" w14:textId="77777777" w:rsidR="007775A8" w:rsidRPr="00AB5BC9" w:rsidRDefault="007775A8" w:rsidP="00AB5BC9">
      <w:pPr>
        <w:pStyle w:val="NormalWeb"/>
        <w:tabs>
          <w:tab w:val="clear" w:pos="737"/>
        </w:tabs>
        <w:spacing w:before="120" w:after="120" w:line="480" w:lineRule="auto"/>
        <w:ind w:left="0"/>
        <w:jc w:val="left"/>
        <w:rPr>
          <w:rFonts w:ascii="Trebuchet MS" w:hAnsi="Trebuchet MS"/>
          <w:b/>
          <w:bCs/>
          <w:lang w:val="ro-RO" w:eastAsia="ar-SA"/>
        </w:rPr>
      </w:pPr>
      <w:r w:rsidRPr="00AB5BC9">
        <w:rPr>
          <w:rFonts w:ascii="Trebuchet MS" w:hAnsi="Trebuchet MS"/>
          <w:b/>
          <w:bCs/>
          <w:lang w:val="ro-RO" w:eastAsia="ar-SA"/>
        </w:rPr>
        <w:t>Facilities and equipment</w:t>
      </w:r>
    </w:p>
    <w:p w14:paraId="741903C4" w14:textId="564690B1" w:rsidR="007775A8" w:rsidRPr="00AB5BC9" w:rsidRDefault="003A507F" w:rsidP="00AB5BC9">
      <w:p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 xml:space="preserve">The laboratory can be equipped with equipment and infrastructure specific to water quality analysis and monitoring activities, selected according to the analytical profile, operational requirements and the conditions necessary </w:t>
      </w:r>
      <w:r w:rsidR="00BA65A0" w:rsidRPr="00BA65A0">
        <w:rPr>
          <w:rFonts w:ascii="Trebuchet MS" w:eastAsia="Times New Roman" w:hAnsi="Trebuchet MS" w:cs="Arial"/>
          <w:sz w:val="22"/>
          <w:szCs w:val="22"/>
        </w:rPr>
        <w:t xml:space="preserve">to ensure compliance with the requirements of </w:t>
      </w:r>
      <w:r w:rsidRPr="00AB5BC9">
        <w:rPr>
          <w:rFonts w:ascii="Trebuchet MS" w:eastAsia="Times New Roman" w:hAnsi="Trebuchet MS" w:cs="Arial"/>
          <w:sz w:val="22"/>
          <w:szCs w:val="22"/>
        </w:rPr>
        <w:t>SR EN ISO/IEC 17025:2018:</w:t>
      </w:r>
    </w:p>
    <w:p w14:paraId="7EB25A87" w14:textId="5E6B1373" w:rsidR="007775A8" w:rsidRPr="00AB5BC9" w:rsidRDefault="007775A8" w:rsidP="00AB5BC9">
      <w:pPr>
        <w:numPr>
          <w:ilvl w:val="0"/>
          <w:numId w:val="4"/>
        </w:num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 xml:space="preserve">laboratory equipment (spectrophotometers, </w:t>
      </w:r>
      <w:r w:rsidR="00BA65A0">
        <w:rPr>
          <w:rFonts w:ascii="Trebuchet MS" w:eastAsia="Times New Roman" w:hAnsi="Trebuchet MS" w:cs="Arial"/>
          <w:sz w:val="22"/>
          <w:szCs w:val="22"/>
        </w:rPr>
        <w:t>a</w:t>
      </w:r>
      <w:r w:rsidR="00BA65A0" w:rsidRPr="00BA65A0">
        <w:rPr>
          <w:rFonts w:ascii="Trebuchet MS" w:eastAsia="Times New Roman" w:hAnsi="Trebuchet MS" w:cs="Arial"/>
          <w:sz w:val="22"/>
          <w:szCs w:val="22"/>
        </w:rPr>
        <w:t>tomic Absorption Spectrometers</w:t>
      </w:r>
      <w:r w:rsidR="00BA65A0">
        <w:rPr>
          <w:rFonts w:ascii="Trebuchet MS" w:eastAsia="Times New Roman" w:hAnsi="Trebuchet MS" w:cs="Arial"/>
          <w:sz w:val="22"/>
          <w:szCs w:val="22"/>
        </w:rPr>
        <w:t>,</w:t>
      </w:r>
      <w:r w:rsidR="00BA65A0" w:rsidRPr="00BA65A0">
        <w:rPr>
          <w:rFonts w:ascii="Trebuchet MS" w:eastAsia="Times New Roman" w:hAnsi="Trebuchet MS" w:cs="Arial"/>
          <w:sz w:val="22"/>
          <w:szCs w:val="22"/>
        </w:rPr>
        <w:t xml:space="preserve"> </w:t>
      </w:r>
      <w:r w:rsidRPr="00AB5BC9">
        <w:rPr>
          <w:rFonts w:ascii="Trebuchet MS" w:eastAsia="Times New Roman" w:hAnsi="Trebuchet MS" w:cs="Arial"/>
          <w:sz w:val="22"/>
          <w:szCs w:val="22"/>
        </w:rPr>
        <w:t xml:space="preserve">ICP-MS/OES, chromatographs, </w:t>
      </w:r>
      <w:r w:rsidR="00BA65A0" w:rsidRPr="00BA65A0">
        <w:rPr>
          <w:rFonts w:ascii="Trebuchet MS" w:eastAsia="Times New Roman" w:hAnsi="Trebuchet MS" w:cs="Arial"/>
          <w:sz w:val="22"/>
          <w:szCs w:val="22"/>
        </w:rPr>
        <w:t xml:space="preserve">TOC/TN </w:t>
      </w:r>
      <w:r w:rsidR="00BA65A0">
        <w:rPr>
          <w:rFonts w:ascii="Trebuchet MS" w:eastAsia="Times New Roman" w:hAnsi="Trebuchet MS" w:cs="Arial"/>
          <w:sz w:val="22"/>
          <w:szCs w:val="22"/>
        </w:rPr>
        <w:t>a</w:t>
      </w:r>
      <w:r w:rsidR="00BA65A0" w:rsidRPr="00BA65A0">
        <w:rPr>
          <w:rFonts w:ascii="Trebuchet MS" w:eastAsia="Times New Roman" w:hAnsi="Trebuchet MS" w:cs="Arial"/>
          <w:sz w:val="22"/>
          <w:szCs w:val="22"/>
        </w:rPr>
        <w:t>nalyzers</w:t>
      </w:r>
      <w:r w:rsidR="00BA65A0">
        <w:rPr>
          <w:rFonts w:ascii="Trebuchet MS" w:eastAsia="Times New Roman" w:hAnsi="Trebuchet MS" w:cs="Arial"/>
          <w:sz w:val="22"/>
          <w:szCs w:val="22"/>
        </w:rPr>
        <w:t xml:space="preserve">, </w:t>
      </w:r>
      <w:r w:rsidR="00BA65A0" w:rsidRPr="00BA65A0">
        <w:rPr>
          <w:rFonts w:ascii="Trebuchet MS" w:eastAsia="Times New Roman" w:hAnsi="Trebuchet MS" w:cs="Arial"/>
          <w:sz w:val="22"/>
          <w:szCs w:val="22"/>
        </w:rPr>
        <w:t xml:space="preserve"> </w:t>
      </w:r>
      <w:r w:rsidRPr="00AB5BC9">
        <w:rPr>
          <w:rFonts w:ascii="Trebuchet MS" w:eastAsia="Times New Roman" w:hAnsi="Trebuchet MS" w:cs="Arial"/>
          <w:sz w:val="22"/>
          <w:szCs w:val="22"/>
        </w:rPr>
        <w:t>sample processing equipment (extraction, concentration), high-precision balances, biology equipment, cold rooms</w:t>
      </w:r>
      <w:r w:rsidR="00BA65A0">
        <w:rPr>
          <w:rFonts w:ascii="Trebuchet MS" w:eastAsia="Times New Roman" w:hAnsi="Trebuchet MS" w:cs="Arial"/>
          <w:sz w:val="22"/>
          <w:szCs w:val="22"/>
        </w:rPr>
        <w:t xml:space="preserve"> etc.</w:t>
      </w:r>
      <w:r w:rsidRPr="00AB5BC9">
        <w:rPr>
          <w:rFonts w:ascii="Trebuchet MS" w:eastAsia="Times New Roman" w:hAnsi="Trebuchet MS" w:cs="Arial"/>
          <w:sz w:val="22"/>
          <w:szCs w:val="22"/>
        </w:rPr>
        <w:t>);</w:t>
      </w:r>
    </w:p>
    <w:p w14:paraId="1B47F5A4" w14:textId="77777777" w:rsidR="007775A8" w:rsidRPr="00AB5BC9" w:rsidRDefault="007775A8" w:rsidP="00AB5BC9">
      <w:pPr>
        <w:numPr>
          <w:ilvl w:val="0"/>
          <w:numId w:val="4"/>
        </w:num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 xml:space="preserve">specific furniture (work tables, cabinets, laboratory hoods), </w:t>
      </w:r>
      <w:r w:rsidRPr="00AB5BC9">
        <w:rPr>
          <w:rFonts w:ascii="Trebuchet MS" w:eastAsia="Times New Roman" w:hAnsi="Trebuchet MS" w:cs="Times New Roman"/>
          <w:sz w:val="22"/>
          <w:szCs w:val="22"/>
          <w:lang w:eastAsia="ro-RO"/>
        </w:rPr>
        <w:t>compatible with safety, cleaning and chemical resistance requirements;</w:t>
      </w:r>
    </w:p>
    <w:p w14:paraId="32A74D26" w14:textId="77777777" w:rsidR="007775A8" w:rsidRPr="00AB5BC9" w:rsidRDefault="007775A8" w:rsidP="00AB5BC9">
      <w:pPr>
        <w:numPr>
          <w:ilvl w:val="0"/>
          <w:numId w:val="4"/>
        </w:num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equipment for handling and storing samples (cold rooms, freezers);</w:t>
      </w:r>
    </w:p>
    <w:p w14:paraId="574789F6" w14:textId="77777777" w:rsidR="007775A8" w:rsidRPr="00AB5BC9" w:rsidRDefault="007775A8" w:rsidP="00AB5BC9">
      <w:pPr>
        <w:numPr>
          <w:ilvl w:val="0"/>
          <w:numId w:val="4"/>
        </w:num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IT systems and servers for data management and reporting according to the provisions of SR EN ISO 17025:2018.</w:t>
      </w:r>
    </w:p>
    <w:p w14:paraId="6E84966E" w14:textId="6C29BA2E" w:rsidR="007775A8" w:rsidRPr="00AB5BC9" w:rsidRDefault="003A507F" w:rsidP="00AB5BC9">
      <w:p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 xml:space="preserve">The technical facilities and infrastructures will aim to ensure the traceability of measurements, internal quality control, the possibility of verification and calibration of equipment, as well as participation in interlaboratory comparison schemes, under the conditions required for </w:t>
      </w:r>
      <w:r w:rsidR="00BA65A0" w:rsidRPr="00BA65A0">
        <w:rPr>
          <w:rFonts w:ascii="Trebuchet MS" w:eastAsia="Times New Roman" w:hAnsi="Trebuchet MS" w:cs="Arial"/>
          <w:sz w:val="22"/>
          <w:szCs w:val="22"/>
        </w:rPr>
        <w:t>compliance with the</w:t>
      </w:r>
      <w:r w:rsidR="00BA65A0" w:rsidRPr="00BA65A0" w:rsidDel="00BA65A0">
        <w:rPr>
          <w:rFonts w:ascii="Trebuchet MS" w:eastAsia="Times New Roman" w:hAnsi="Trebuchet MS" w:cs="Arial"/>
          <w:sz w:val="22"/>
          <w:szCs w:val="22"/>
        </w:rPr>
        <w:t xml:space="preserve"> </w:t>
      </w:r>
      <w:r w:rsidRPr="00AB5BC9">
        <w:rPr>
          <w:rFonts w:ascii="Trebuchet MS" w:eastAsia="Times New Roman" w:hAnsi="Trebuchet MS" w:cs="Arial"/>
          <w:sz w:val="22"/>
          <w:szCs w:val="22"/>
        </w:rPr>
        <w:t>SR EN ISO/IEC 17025:2018.</w:t>
      </w:r>
    </w:p>
    <w:p w14:paraId="776958C0" w14:textId="77777777" w:rsidR="003A507F" w:rsidRPr="005C167C" w:rsidRDefault="003A507F" w:rsidP="00AB5BC9">
      <w:pPr>
        <w:spacing w:before="120" w:after="120" w:line="240" w:lineRule="auto"/>
        <w:jc w:val="both"/>
        <w:rPr>
          <w:rFonts w:ascii="Trebuchet MS" w:eastAsia="Times New Roman" w:hAnsi="Trebuchet MS" w:cs="Arial"/>
        </w:rPr>
      </w:pPr>
    </w:p>
    <w:p w14:paraId="6F8BE1A9" w14:textId="77777777" w:rsidR="007775A8" w:rsidRPr="00AB5BC9" w:rsidRDefault="007775A8" w:rsidP="00AB5BC9">
      <w:pPr>
        <w:pStyle w:val="NormalWeb"/>
        <w:tabs>
          <w:tab w:val="clear" w:pos="737"/>
        </w:tabs>
        <w:spacing w:before="120" w:after="120" w:line="480" w:lineRule="auto"/>
        <w:ind w:left="0"/>
        <w:jc w:val="left"/>
        <w:rPr>
          <w:rFonts w:ascii="Trebuchet MS" w:hAnsi="Trebuchet MS"/>
          <w:b/>
          <w:bCs/>
          <w:lang w:val="ro-RO" w:eastAsia="ar-SA"/>
        </w:rPr>
      </w:pPr>
      <w:r w:rsidRPr="00AB5BC9">
        <w:rPr>
          <w:rFonts w:ascii="Trebuchet MS" w:hAnsi="Trebuchet MS"/>
          <w:b/>
          <w:bCs/>
          <w:lang w:val="ro-RO" w:eastAsia="ar-SA"/>
        </w:rPr>
        <w:t>Security and support functions</w:t>
      </w:r>
    </w:p>
    <w:p w14:paraId="645CF938" w14:textId="04F3935D" w:rsidR="007775A8" w:rsidRPr="00AB5BC9" w:rsidRDefault="008B4B77"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Times New Roman"/>
          <w:sz w:val="22"/>
          <w:szCs w:val="22"/>
          <w:lang w:eastAsia="ro-RO"/>
        </w:rPr>
        <w:t xml:space="preserve">functional organization may take into account the spaces and infrastructures necessary to carry out </w:t>
      </w:r>
      <w:r w:rsidR="007775A8" w:rsidRPr="00AB5BC9">
        <w:rPr>
          <w:rFonts w:ascii="Trebuchet MS" w:eastAsia="Times New Roman" w:hAnsi="Trebuchet MS" w:cs="Arial"/>
          <w:sz w:val="22"/>
          <w:szCs w:val="22"/>
        </w:rPr>
        <w:t>analysis, quality control, maintenance and IT support activities;</w:t>
      </w:r>
    </w:p>
    <w:p w14:paraId="5DD1B7AD"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Arial"/>
          <w:sz w:val="22"/>
          <w:szCs w:val="22"/>
        </w:rPr>
        <w:t>ensuring a dedicated technical operation and maintenance function (at least one specialist), to support the exploitation of equipment and technical infrastructure, including through preventive maintenance;</w:t>
      </w:r>
    </w:p>
    <w:p w14:paraId="51805BFC"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Arial"/>
          <w:sz w:val="22"/>
          <w:szCs w:val="22"/>
        </w:rPr>
        <w:t>access control, video surveillance and alarm systems;</w:t>
      </w:r>
    </w:p>
    <w:p w14:paraId="4455C137"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Arial"/>
          <w:sz w:val="22"/>
          <w:szCs w:val="22"/>
        </w:rPr>
        <w:t>fire detection and extinguishing systems;</w:t>
      </w:r>
    </w:p>
    <w:p w14:paraId="28E23FB0"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Arial"/>
          <w:sz w:val="22"/>
          <w:szCs w:val="22"/>
        </w:rPr>
        <w:t>emergency lighting and automatic consumption control systems;</w:t>
      </w:r>
    </w:p>
    <w:p w14:paraId="0AB1FB36"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Times New Roman"/>
          <w:sz w:val="22"/>
          <w:szCs w:val="22"/>
          <w:lang w:eastAsia="ro-RO"/>
        </w:rPr>
        <w:t>hazardous waste storage area (chemical residues) located close to an exit, for controlled handling and disposal;</w:t>
      </w:r>
    </w:p>
    <w:p w14:paraId="68FF09E7"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Arial"/>
          <w:sz w:val="22"/>
          <w:szCs w:val="22"/>
        </w:rPr>
        <w:t>technical room;</w:t>
      </w:r>
    </w:p>
    <w:p w14:paraId="1B2BC11B" w14:textId="77777777" w:rsidR="007775A8" w:rsidRPr="00AB5BC9" w:rsidRDefault="007775A8" w:rsidP="00AB5BC9">
      <w:pPr>
        <w:numPr>
          <w:ilvl w:val="0"/>
          <w:numId w:val="4"/>
        </w:numPr>
        <w:spacing w:before="120" w:after="120" w:line="240" w:lineRule="auto"/>
        <w:ind w:left="567" w:hanging="283"/>
        <w:jc w:val="both"/>
        <w:rPr>
          <w:rFonts w:ascii="Trebuchet MS" w:eastAsia="Times New Roman" w:hAnsi="Trebuchet MS" w:cs="Arial"/>
          <w:sz w:val="22"/>
          <w:szCs w:val="22"/>
        </w:rPr>
      </w:pPr>
      <w:r w:rsidRPr="00AB5BC9">
        <w:rPr>
          <w:rFonts w:ascii="Trebuchet MS" w:eastAsia="Times New Roman" w:hAnsi="Trebuchet MS" w:cs="Arial"/>
          <w:sz w:val="22"/>
          <w:szCs w:val="22"/>
        </w:rPr>
        <w:t>administrative spaces:</w:t>
      </w:r>
    </w:p>
    <w:p w14:paraId="789BE8A5" w14:textId="77777777" w:rsidR="007775A8" w:rsidRPr="00AB5BC9" w:rsidRDefault="007775A8" w:rsidP="00AB5BC9">
      <w:pPr>
        <w:numPr>
          <w:ilvl w:val="1"/>
          <w:numId w:val="4"/>
        </w:num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offices;</w:t>
      </w:r>
    </w:p>
    <w:p w14:paraId="1038F8DB" w14:textId="77777777" w:rsidR="007775A8" w:rsidRPr="00AB5BC9" w:rsidRDefault="007775A8" w:rsidP="00AB5BC9">
      <w:pPr>
        <w:numPr>
          <w:ilvl w:val="1"/>
          <w:numId w:val="4"/>
        </w:num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conference room;</w:t>
      </w:r>
    </w:p>
    <w:p w14:paraId="74AFA739" w14:textId="17D8556C" w:rsidR="007775A8" w:rsidRPr="00AB5BC9" w:rsidRDefault="007775A8" w:rsidP="00AB5BC9">
      <w:pPr>
        <w:numPr>
          <w:ilvl w:val="1"/>
          <w:numId w:val="4"/>
        </w:num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 xml:space="preserve">changing rooms and showers - </w:t>
      </w:r>
      <w:r w:rsidR="00CB27A5" w:rsidRPr="00CB27A5">
        <w:rPr>
          <w:rFonts w:ascii="Trebuchet MS" w:eastAsia="Times New Roman" w:hAnsi="Trebuchet MS" w:cs="Arial"/>
          <w:sz w:val="22"/>
          <w:szCs w:val="22"/>
        </w:rPr>
        <w:t>to ensure occupational health, safety and hygiene</w:t>
      </w:r>
      <w:r w:rsidRPr="00AB5BC9">
        <w:rPr>
          <w:rFonts w:ascii="Trebuchet MS" w:eastAsia="Times New Roman" w:hAnsi="Trebuchet MS" w:cs="Arial"/>
          <w:sz w:val="22"/>
          <w:szCs w:val="22"/>
        </w:rPr>
        <w:t>;</w:t>
      </w:r>
    </w:p>
    <w:p w14:paraId="11AF225B" w14:textId="77777777" w:rsidR="007775A8" w:rsidRPr="00AB5BC9" w:rsidRDefault="007775A8" w:rsidP="00AB5BC9">
      <w:pPr>
        <w:numPr>
          <w:ilvl w:val="1"/>
          <w:numId w:val="4"/>
        </w:num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t>dining room / dining area - to clearly separate the food consumption area from the technical areas;</w:t>
      </w:r>
    </w:p>
    <w:p w14:paraId="06C5BF39" w14:textId="3C59A9AD" w:rsidR="007775A8" w:rsidRPr="00AB5BC9" w:rsidRDefault="007775A8" w:rsidP="00AB5BC9">
      <w:pPr>
        <w:numPr>
          <w:ilvl w:val="1"/>
          <w:numId w:val="4"/>
        </w:numPr>
        <w:spacing w:before="120" w:after="120" w:line="240" w:lineRule="auto"/>
        <w:jc w:val="both"/>
        <w:rPr>
          <w:rFonts w:ascii="Trebuchet MS" w:eastAsia="Times New Roman" w:hAnsi="Trebuchet MS" w:cs="Arial"/>
          <w:sz w:val="22"/>
          <w:szCs w:val="22"/>
        </w:rPr>
      </w:pPr>
      <w:r w:rsidRPr="00AB5BC9">
        <w:rPr>
          <w:rFonts w:ascii="Trebuchet MS" w:eastAsia="Times New Roman" w:hAnsi="Trebuchet MS" w:cs="Arial"/>
          <w:sz w:val="22"/>
          <w:szCs w:val="22"/>
        </w:rPr>
        <w:lastRenderedPageBreak/>
        <w:t>area for washing lab coats</w:t>
      </w:r>
      <w:r w:rsidR="00CB27A5">
        <w:rPr>
          <w:rFonts w:ascii="Trebuchet MS" w:eastAsia="Times New Roman" w:hAnsi="Trebuchet MS" w:cs="Arial"/>
          <w:sz w:val="22"/>
          <w:szCs w:val="22"/>
        </w:rPr>
        <w:t>/working equipment</w:t>
      </w:r>
      <w:r w:rsidRPr="00AB5BC9">
        <w:rPr>
          <w:rFonts w:ascii="Trebuchet MS" w:eastAsia="Times New Roman" w:hAnsi="Trebuchet MS" w:cs="Arial"/>
          <w:sz w:val="22"/>
          <w:szCs w:val="22"/>
        </w:rPr>
        <w:t xml:space="preserve">, to reduce the risk of contamination </w:t>
      </w:r>
      <w:r w:rsidR="00CB27A5" w:rsidRPr="00CB27A5">
        <w:rPr>
          <w:rFonts w:ascii="Trebuchet MS" w:eastAsia="Times New Roman" w:hAnsi="Trebuchet MS" w:cs="Arial"/>
          <w:sz w:val="22"/>
          <w:szCs w:val="22"/>
        </w:rPr>
        <w:t xml:space="preserve">within or </w:t>
      </w:r>
      <w:r w:rsidRPr="00AB5BC9">
        <w:rPr>
          <w:rFonts w:ascii="Trebuchet MS" w:eastAsia="Times New Roman" w:hAnsi="Trebuchet MS" w:cs="Arial"/>
          <w:sz w:val="22"/>
          <w:szCs w:val="22"/>
        </w:rPr>
        <w:t>outside the laboratory.</w:t>
      </w:r>
    </w:p>
    <w:p w14:paraId="126855B0" w14:textId="77777777" w:rsidR="001E649F" w:rsidRPr="005C167C" w:rsidRDefault="001E649F" w:rsidP="00AB5BC9">
      <w:pPr>
        <w:spacing w:before="120" w:after="120" w:line="240" w:lineRule="auto"/>
        <w:jc w:val="both"/>
        <w:rPr>
          <w:rFonts w:ascii="Trebuchet MS" w:eastAsia="Times New Roman" w:hAnsi="Trebuchet MS" w:cs="Arial"/>
        </w:rPr>
      </w:pPr>
    </w:p>
    <w:p w14:paraId="67CB2669" w14:textId="68E4A9A0" w:rsidR="001E649F" w:rsidRPr="00AB5BC9" w:rsidRDefault="001E649F" w:rsidP="00AB5BC9">
      <w:pPr>
        <w:pStyle w:val="NormalWeb"/>
        <w:tabs>
          <w:tab w:val="clear" w:pos="737"/>
        </w:tabs>
        <w:spacing w:before="120" w:after="120" w:line="480" w:lineRule="auto"/>
        <w:ind w:left="0"/>
        <w:jc w:val="left"/>
        <w:rPr>
          <w:rFonts w:ascii="Trebuchet MS" w:hAnsi="Trebuchet MS"/>
          <w:b/>
          <w:bCs/>
          <w:lang w:val="ro-RO" w:eastAsia="ar-SA"/>
        </w:rPr>
      </w:pPr>
      <w:r w:rsidRPr="00AB5BC9">
        <w:rPr>
          <w:rFonts w:ascii="Trebuchet MS" w:hAnsi="Trebuchet MS"/>
          <w:b/>
          <w:bCs/>
          <w:lang w:val="ro-RO" w:eastAsia="ar-SA"/>
        </w:rPr>
        <w:t>Indicative distribution of functions by level</w:t>
      </w:r>
      <w:r w:rsidR="00EE30A6">
        <w:rPr>
          <w:rFonts w:ascii="Trebuchet MS" w:hAnsi="Trebuchet MS"/>
          <w:b/>
          <w:bCs/>
          <w:lang w:val="ro-RO" w:eastAsia="ar-SA"/>
        </w:rPr>
        <w:t xml:space="preserve"> of bulding</w:t>
      </w:r>
    </w:p>
    <w:p w14:paraId="3366ACC3" w14:textId="7B182187" w:rsidR="00D83AE4" w:rsidRPr="00AB5BC9" w:rsidRDefault="00D83AE4">
      <w:p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The ground floor is intended for functions with intense operational flow and direct logistical access, being the optimal level for sample reception and distribution, as well as for laboratory activities involving frequent handling of samples, reagents and materials. The lateral access for vans allows direct supply of the sample reception area, without intersecting with the main access of staff and visitors, which supports a good separation of flows.</w:t>
      </w:r>
    </w:p>
    <w:p w14:paraId="04FE8BB0" w14:textId="52037DDC" w:rsidR="00D83AE4" w:rsidRPr="00AB5BC9" w:rsidRDefault="00D83AE4">
      <w:p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 xml:space="preserve">Floor 1 is suitable for laboratory activities that require a more controlled </w:t>
      </w:r>
      <w:r w:rsidR="00546C6D" w:rsidRPr="00546C6D">
        <w:rPr>
          <w:rFonts w:ascii="Trebuchet MS" w:eastAsia="Times New Roman" w:hAnsi="Trebuchet MS" w:cs="Times New Roman"/>
          <w:sz w:val="22"/>
          <w:szCs w:val="22"/>
          <w:lang w:eastAsia="ro-RO"/>
        </w:rPr>
        <w:t>operating environment</w:t>
      </w:r>
      <w:r w:rsidR="00546C6D">
        <w:rPr>
          <w:rFonts w:ascii="Trebuchet MS" w:eastAsia="Times New Roman" w:hAnsi="Trebuchet MS" w:cs="Times New Roman"/>
          <w:sz w:val="22"/>
          <w:szCs w:val="22"/>
          <w:lang w:eastAsia="ro-RO"/>
        </w:rPr>
        <w:t xml:space="preserve"> </w:t>
      </w:r>
      <w:r w:rsidRPr="00AB5BC9">
        <w:rPr>
          <w:rFonts w:ascii="Trebuchet MS" w:eastAsia="Times New Roman" w:hAnsi="Trebuchet MS" w:cs="Times New Roman"/>
          <w:sz w:val="22"/>
          <w:szCs w:val="22"/>
          <w:lang w:eastAsia="ro-RO"/>
        </w:rPr>
        <w:t>and separation from the intense flow of sample receipt.</w:t>
      </w:r>
      <w:r w:rsidRPr="00AB5BC9">
        <w:rPr>
          <w:sz w:val="22"/>
          <w:szCs w:val="22"/>
        </w:rPr>
        <w:t xml:space="preserve"> </w:t>
      </w:r>
      <w:r w:rsidRPr="00AB5BC9">
        <w:rPr>
          <w:rFonts w:ascii="Trebuchet MS" w:eastAsia="Times New Roman" w:hAnsi="Trebuchet MS" w:cs="Times New Roman"/>
          <w:sz w:val="22"/>
          <w:szCs w:val="22"/>
          <w:lang w:eastAsia="ro-RO"/>
        </w:rPr>
        <w:t>This location is appropriate because it allows for better control of access and security conditions, while maintaining a functional relationship with the lower level, where samples are received and distributed.</w:t>
      </w:r>
    </w:p>
    <w:p w14:paraId="3441800F" w14:textId="6A00973A" w:rsidR="00D83AE4" w:rsidRPr="00AB5BC9" w:rsidRDefault="00D83AE4">
      <w:p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The upper level, together with the terrace, is suitable for administrative, coordination and representation functions, as well as for some of the technical spaces. The terrace functionally completes this area, being able to be used as a technical terrace and/or controlled outdoor space for staff, within the limits of urban regulations, without interfering with laboratory flows.</w:t>
      </w:r>
    </w:p>
    <w:p w14:paraId="7E1A3423" w14:textId="350DB6A0" w:rsidR="00D83AE4" w:rsidRPr="00AB5BC9" w:rsidRDefault="007775A8">
      <w:p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 xml:space="preserve">A possible auxiliary building can be used for technical and logistical functions distinct from the main </w:t>
      </w:r>
      <w:r w:rsidR="00784452">
        <w:rPr>
          <w:rFonts w:ascii="Trebuchet MS" w:eastAsia="Times New Roman" w:hAnsi="Trebuchet MS" w:cs="Times New Roman"/>
          <w:sz w:val="22"/>
          <w:szCs w:val="22"/>
          <w:lang w:eastAsia="ro-RO"/>
        </w:rPr>
        <w:t>bui</w:t>
      </w:r>
      <w:r w:rsidR="0030069E">
        <w:rPr>
          <w:rFonts w:ascii="Trebuchet MS" w:eastAsia="Times New Roman" w:hAnsi="Trebuchet MS" w:cs="Times New Roman"/>
          <w:sz w:val="22"/>
          <w:szCs w:val="22"/>
          <w:lang w:eastAsia="ro-RO"/>
        </w:rPr>
        <w:t>l</w:t>
      </w:r>
      <w:r w:rsidR="00784452">
        <w:rPr>
          <w:rFonts w:ascii="Trebuchet MS" w:eastAsia="Times New Roman" w:hAnsi="Trebuchet MS" w:cs="Times New Roman"/>
          <w:sz w:val="22"/>
          <w:szCs w:val="22"/>
          <w:lang w:eastAsia="ro-RO"/>
        </w:rPr>
        <w:t>ding</w:t>
      </w:r>
      <w:r w:rsidRPr="00AB5BC9">
        <w:rPr>
          <w:rFonts w:ascii="Trebuchet MS" w:eastAsia="Times New Roman" w:hAnsi="Trebuchet MS" w:cs="Times New Roman"/>
          <w:sz w:val="22"/>
          <w:szCs w:val="22"/>
          <w:lang w:eastAsia="ro-RO"/>
        </w:rPr>
        <w:t>, such as: storage of special gas cylinders; technical area for support equipment; logistical functions associated with sample collection.</w:t>
      </w:r>
    </w:p>
    <w:p w14:paraId="0D29C521" w14:textId="1C10CDAD" w:rsidR="003A507F" w:rsidRPr="00AB5BC9" w:rsidRDefault="003A507F" w:rsidP="00AB5BC9">
      <w:pPr>
        <w:spacing w:before="120" w:after="120" w:line="240" w:lineRule="auto"/>
        <w:jc w:val="both"/>
        <w:rPr>
          <w:rFonts w:ascii="Trebuchet MS" w:hAnsi="Trebuchet MS"/>
          <w:sz w:val="22"/>
          <w:szCs w:val="22"/>
          <w:lang w:eastAsia="ro-RO"/>
        </w:rPr>
      </w:pPr>
      <w:r w:rsidRPr="00AB5BC9">
        <w:rPr>
          <w:rFonts w:ascii="Trebuchet MS" w:eastAsia="Times New Roman" w:hAnsi="Trebuchet MS" w:cs="Times New Roman"/>
          <w:sz w:val="22"/>
          <w:szCs w:val="22"/>
          <w:lang w:eastAsia="ro-RO"/>
        </w:rPr>
        <w:t xml:space="preserve">The distribution of functions by level is </w:t>
      </w:r>
      <w:r w:rsidR="00CB27A5">
        <w:rPr>
          <w:rFonts w:ascii="Trebuchet MS" w:eastAsia="Times New Roman" w:hAnsi="Trebuchet MS" w:cs="Times New Roman"/>
          <w:sz w:val="22"/>
          <w:szCs w:val="22"/>
          <w:lang w:eastAsia="ro-RO"/>
        </w:rPr>
        <w:t xml:space="preserve">strictly </w:t>
      </w:r>
      <w:r w:rsidRPr="00AB5BC9">
        <w:rPr>
          <w:rFonts w:ascii="Trebuchet MS" w:eastAsia="Times New Roman" w:hAnsi="Trebuchet MS" w:cs="Times New Roman"/>
          <w:sz w:val="22"/>
          <w:szCs w:val="22"/>
          <w:lang w:eastAsia="ro-RO"/>
        </w:rPr>
        <w:t>indicative and can be adapted during the Feasibility Study stage, depending on the structural solution, flow organization</w:t>
      </w:r>
      <w:r w:rsidR="00CB27A5">
        <w:rPr>
          <w:rFonts w:ascii="Trebuchet MS" w:eastAsia="Times New Roman" w:hAnsi="Trebuchet MS" w:cs="Times New Roman"/>
          <w:sz w:val="22"/>
          <w:szCs w:val="22"/>
          <w:lang w:eastAsia="ro-RO"/>
        </w:rPr>
        <w:t xml:space="preserve"> of the laboratory activities</w:t>
      </w:r>
      <w:r w:rsidRPr="00AB5BC9">
        <w:rPr>
          <w:rFonts w:ascii="Trebuchet MS" w:eastAsia="Times New Roman" w:hAnsi="Trebuchet MS" w:cs="Times New Roman"/>
          <w:sz w:val="22"/>
          <w:szCs w:val="22"/>
          <w:lang w:eastAsia="ro-RO"/>
        </w:rPr>
        <w:t>, facility requirements and applicable urban planning conditions.</w:t>
      </w:r>
    </w:p>
    <w:p w14:paraId="7EB6D7B6" w14:textId="77777777" w:rsidR="003A507F" w:rsidRDefault="003A507F" w:rsidP="00AB5BC9">
      <w:pPr>
        <w:pStyle w:val="NormalWeb"/>
        <w:tabs>
          <w:tab w:val="clear" w:pos="737"/>
        </w:tabs>
        <w:spacing w:before="120" w:after="120" w:line="240" w:lineRule="auto"/>
        <w:ind w:left="0"/>
        <w:jc w:val="left"/>
        <w:rPr>
          <w:rFonts w:ascii="Trebuchet MS" w:hAnsi="Trebuchet MS"/>
          <w:b/>
          <w:bCs/>
          <w:sz w:val="22"/>
          <w:szCs w:val="22"/>
          <w:lang w:val="ro-RO" w:eastAsia="ar-SA"/>
        </w:rPr>
      </w:pPr>
    </w:p>
    <w:p w14:paraId="1EB4DFFE" w14:textId="21601949" w:rsidR="008B4B77" w:rsidRPr="00AB5BC9" w:rsidRDefault="008B4B77" w:rsidP="00AB5BC9">
      <w:pPr>
        <w:pStyle w:val="NormalWeb"/>
        <w:tabs>
          <w:tab w:val="clear" w:pos="737"/>
        </w:tabs>
        <w:spacing w:before="120" w:after="120" w:line="480" w:lineRule="auto"/>
        <w:ind w:left="0"/>
        <w:jc w:val="left"/>
        <w:rPr>
          <w:rFonts w:ascii="Trebuchet MS" w:hAnsi="Trebuchet MS"/>
          <w:b/>
          <w:bCs/>
          <w:lang w:val="ro-RO" w:eastAsia="ar-SA"/>
        </w:rPr>
      </w:pPr>
      <w:r w:rsidRPr="00AB5BC9">
        <w:rPr>
          <w:rFonts w:ascii="Trebuchet MS" w:hAnsi="Trebuchet MS"/>
          <w:b/>
          <w:bCs/>
          <w:lang w:val="ro-RO" w:eastAsia="ar-SA"/>
        </w:rPr>
        <w:t>Digitalization and interoperability</w:t>
      </w:r>
    </w:p>
    <w:p w14:paraId="2A67BCB5" w14:textId="6151DA7D" w:rsidR="001E649F" w:rsidRPr="00AB5BC9" w:rsidRDefault="008B4B77">
      <w:pPr>
        <w:spacing w:before="120" w:after="120" w:line="240" w:lineRule="auto"/>
        <w:jc w:val="both"/>
        <w:rPr>
          <w:rFonts w:ascii="Trebuchet MS" w:eastAsia="Times New Roman" w:hAnsi="Trebuchet MS" w:cs="Times New Roman"/>
          <w:sz w:val="22"/>
          <w:szCs w:val="22"/>
          <w:lang w:eastAsia="ro-RO"/>
        </w:rPr>
      </w:pPr>
      <w:r w:rsidRPr="00AB5BC9">
        <w:rPr>
          <w:rFonts w:ascii="Trebuchet MS" w:eastAsia="Times New Roman" w:hAnsi="Trebuchet MS" w:cs="Times New Roman"/>
          <w:sz w:val="22"/>
          <w:szCs w:val="22"/>
          <w:lang w:eastAsia="ro-RO"/>
        </w:rPr>
        <w:t xml:space="preserve">The functional organization and technical infrastructure </w:t>
      </w:r>
      <w:r w:rsidR="00CB27A5">
        <w:rPr>
          <w:rFonts w:ascii="Trebuchet MS" w:eastAsia="Times New Roman" w:hAnsi="Trebuchet MS" w:cs="Times New Roman"/>
          <w:sz w:val="22"/>
          <w:szCs w:val="22"/>
          <w:lang w:eastAsia="ro-RO"/>
        </w:rPr>
        <w:t>must</w:t>
      </w:r>
      <w:r w:rsidR="00CB27A5" w:rsidRPr="00AB5BC9">
        <w:rPr>
          <w:rFonts w:ascii="Trebuchet MS" w:eastAsia="Times New Roman" w:hAnsi="Trebuchet MS" w:cs="Times New Roman"/>
          <w:sz w:val="22"/>
          <w:szCs w:val="22"/>
          <w:lang w:eastAsia="ro-RO"/>
        </w:rPr>
        <w:t xml:space="preserve"> </w:t>
      </w:r>
      <w:r w:rsidRPr="00AB5BC9">
        <w:rPr>
          <w:rFonts w:ascii="Trebuchet MS" w:eastAsia="Times New Roman" w:hAnsi="Trebuchet MS" w:cs="Times New Roman"/>
          <w:sz w:val="22"/>
          <w:szCs w:val="22"/>
          <w:lang w:eastAsia="ro-RO"/>
        </w:rPr>
        <w:t>allow the integration of IT systems dedicated to sample management, data traceability and automatic reporting, compatible with the implementation of a LIMS system and</w:t>
      </w:r>
      <w:r w:rsidR="00CB27A5">
        <w:rPr>
          <w:rFonts w:ascii="Trebuchet MS" w:eastAsia="Times New Roman" w:hAnsi="Trebuchet MS" w:cs="Times New Roman"/>
          <w:sz w:val="22"/>
          <w:szCs w:val="22"/>
          <w:lang w:eastAsia="ro-RO"/>
        </w:rPr>
        <w:t xml:space="preserve">, </w:t>
      </w:r>
      <w:r w:rsidR="00CB27A5" w:rsidRPr="00CB27A5">
        <w:rPr>
          <w:rFonts w:ascii="Trebuchet MS" w:eastAsia="Times New Roman" w:hAnsi="Trebuchet MS" w:cs="Times New Roman"/>
          <w:sz w:val="22"/>
          <w:szCs w:val="22"/>
          <w:lang w:eastAsia="ro-RO"/>
        </w:rPr>
        <w:t>where applicable</w:t>
      </w:r>
      <w:r w:rsidR="00CB27A5">
        <w:rPr>
          <w:rFonts w:ascii="Trebuchet MS" w:eastAsia="Times New Roman" w:hAnsi="Trebuchet MS" w:cs="Times New Roman"/>
          <w:sz w:val="22"/>
          <w:szCs w:val="22"/>
          <w:lang w:eastAsia="ro-RO"/>
        </w:rPr>
        <w:t>,</w:t>
      </w:r>
      <w:r w:rsidRPr="00AB5BC9">
        <w:rPr>
          <w:rFonts w:ascii="Trebuchet MS" w:eastAsia="Times New Roman" w:hAnsi="Trebuchet MS" w:cs="Times New Roman"/>
          <w:sz w:val="22"/>
          <w:szCs w:val="22"/>
          <w:lang w:eastAsia="ro-RO"/>
        </w:rPr>
        <w:t xml:space="preserve"> with the digital platforms used within ANAR.</w:t>
      </w:r>
    </w:p>
    <w:p w14:paraId="017B4E0F" w14:textId="77777777" w:rsidR="003A507F" w:rsidRDefault="003A507F" w:rsidP="003A507F">
      <w:pPr>
        <w:pStyle w:val="NormalWeb"/>
        <w:tabs>
          <w:tab w:val="clear" w:pos="737"/>
        </w:tabs>
        <w:spacing w:before="120" w:after="120" w:line="240" w:lineRule="auto"/>
        <w:ind w:left="0"/>
        <w:jc w:val="left"/>
        <w:rPr>
          <w:rFonts w:ascii="Trebuchet MS" w:hAnsi="Trebuchet MS"/>
          <w:b/>
          <w:bCs/>
          <w:sz w:val="22"/>
          <w:szCs w:val="22"/>
          <w:lang w:val="ro-RO" w:eastAsia="ar-SA"/>
        </w:rPr>
      </w:pPr>
    </w:p>
    <w:p w14:paraId="10D57F57" w14:textId="2F9EFDCC" w:rsidR="001E649F" w:rsidRPr="00AB5BC9" w:rsidRDefault="001E649F" w:rsidP="00AB5BC9">
      <w:pPr>
        <w:pStyle w:val="NormalWeb"/>
        <w:tabs>
          <w:tab w:val="clear" w:pos="737"/>
        </w:tabs>
        <w:spacing w:before="120" w:after="120" w:line="480" w:lineRule="auto"/>
        <w:ind w:left="0"/>
        <w:jc w:val="left"/>
        <w:rPr>
          <w:rFonts w:ascii="Trebuchet MS" w:hAnsi="Trebuchet MS"/>
          <w:b/>
          <w:bCs/>
          <w:lang w:val="ro-RO" w:eastAsia="ar-SA"/>
        </w:rPr>
      </w:pPr>
      <w:r w:rsidRPr="00AB5BC9">
        <w:rPr>
          <w:rFonts w:ascii="Trebuchet MS" w:hAnsi="Trebuchet MS"/>
          <w:b/>
          <w:bCs/>
          <w:lang w:val="ro-RO" w:eastAsia="ar-SA"/>
        </w:rPr>
        <w:t>Regional role and cross-border cooperation</w:t>
      </w:r>
    </w:p>
    <w:p w14:paraId="305D3151" w14:textId="1C37C77A" w:rsidR="001E649F" w:rsidRPr="001E649F" w:rsidRDefault="001E649F">
      <w:pPr>
        <w:spacing w:before="120" w:after="120" w:line="240" w:lineRule="auto"/>
        <w:jc w:val="both"/>
        <w:rPr>
          <w:rFonts w:ascii="Trebuchet MS" w:hAnsi="Trebuchet MS"/>
          <w:sz w:val="22"/>
          <w:szCs w:val="22"/>
        </w:rPr>
      </w:pPr>
      <w:r w:rsidRPr="001E649F">
        <w:rPr>
          <w:rFonts w:ascii="Trebuchet MS" w:hAnsi="Trebuchet MS"/>
          <w:sz w:val="22"/>
          <w:szCs w:val="22"/>
        </w:rPr>
        <w:t xml:space="preserve">The functional organization and infrastructure of the laboratory </w:t>
      </w:r>
      <w:r w:rsidR="00CB27A5" w:rsidRPr="00CB27A5">
        <w:rPr>
          <w:rFonts w:ascii="Trebuchet MS" w:hAnsi="Trebuchet MS"/>
          <w:sz w:val="22"/>
          <w:szCs w:val="22"/>
        </w:rPr>
        <w:t>are designed to enable</w:t>
      </w:r>
      <w:r w:rsidR="00CB27A5">
        <w:rPr>
          <w:rFonts w:ascii="Trebuchet MS" w:hAnsi="Trebuchet MS"/>
          <w:sz w:val="22"/>
          <w:szCs w:val="22"/>
        </w:rPr>
        <w:t xml:space="preserve"> </w:t>
      </w:r>
      <w:r w:rsidRPr="001E649F">
        <w:rPr>
          <w:rFonts w:ascii="Trebuchet MS" w:hAnsi="Trebuchet MS"/>
          <w:sz w:val="22"/>
          <w:szCs w:val="22"/>
        </w:rPr>
        <w:t>the development of regional and cross-border cooperation activities in the field of water quality monitoring, including data exchange, technical support and participation in joint monitoring programs in the lower Danube basin.</w:t>
      </w:r>
    </w:p>
    <w:p w14:paraId="57E6A742" w14:textId="77777777" w:rsidR="003A507F" w:rsidRDefault="003A507F" w:rsidP="00AB5BC9">
      <w:pPr>
        <w:pStyle w:val="NormalWeb"/>
        <w:tabs>
          <w:tab w:val="clear" w:pos="737"/>
        </w:tabs>
        <w:spacing w:before="120" w:after="120" w:line="240" w:lineRule="auto"/>
        <w:ind w:left="0"/>
        <w:jc w:val="left"/>
        <w:rPr>
          <w:rFonts w:ascii="Trebuchet MS" w:hAnsi="Trebuchet MS"/>
          <w:b/>
          <w:bCs/>
          <w:sz w:val="22"/>
          <w:szCs w:val="22"/>
          <w:lang w:val="ro-RO" w:eastAsia="ar-SA"/>
        </w:rPr>
      </w:pPr>
    </w:p>
    <w:p w14:paraId="4C426D07" w14:textId="477E6B49" w:rsidR="001E649F" w:rsidRPr="00AB5BC9" w:rsidRDefault="001E649F" w:rsidP="00AB5BC9">
      <w:pPr>
        <w:pStyle w:val="NormalWeb"/>
        <w:tabs>
          <w:tab w:val="clear" w:pos="737"/>
        </w:tabs>
        <w:spacing w:before="120" w:after="120" w:line="480" w:lineRule="auto"/>
        <w:ind w:left="0"/>
        <w:jc w:val="left"/>
        <w:rPr>
          <w:rFonts w:ascii="Trebuchet MS" w:hAnsi="Trebuchet MS"/>
          <w:b/>
          <w:bCs/>
          <w:lang w:val="ro-RO" w:eastAsia="ar-SA"/>
        </w:rPr>
      </w:pPr>
      <w:r w:rsidRPr="00AB5BC9">
        <w:rPr>
          <w:rFonts w:ascii="Trebuchet MS" w:hAnsi="Trebuchet MS"/>
          <w:b/>
          <w:bCs/>
          <w:lang w:val="ro-RO" w:eastAsia="ar-SA"/>
        </w:rPr>
        <w:t>Principles of further development</w:t>
      </w:r>
    </w:p>
    <w:p w14:paraId="0AD1B41D" w14:textId="22EC5389" w:rsidR="001E649F" w:rsidRPr="001E649F" w:rsidRDefault="001E649F">
      <w:pPr>
        <w:spacing w:before="120" w:after="120" w:line="240" w:lineRule="auto"/>
        <w:jc w:val="both"/>
        <w:rPr>
          <w:rFonts w:ascii="Trebuchet MS" w:hAnsi="Trebuchet MS"/>
          <w:sz w:val="22"/>
          <w:szCs w:val="22"/>
        </w:rPr>
      </w:pPr>
      <w:r w:rsidRPr="001E649F">
        <w:rPr>
          <w:rFonts w:ascii="Trebuchet MS" w:hAnsi="Trebuchet MS"/>
          <w:sz w:val="22"/>
          <w:szCs w:val="22"/>
        </w:rPr>
        <w:t xml:space="preserve">Functional organization solutions </w:t>
      </w:r>
      <w:r w:rsidR="00CB27A5" w:rsidRPr="00CB27A5">
        <w:rPr>
          <w:rFonts w:ascii="Trebuchet MS" w:hAnsi="Trebuchet MS"/>
          <w:sz w:val="22"/>
          <w:szCs w:val="22"/>
        </w:rPr>
        <w:t>shall be designed to allow</w:t>
      </w:r>
      <w:r w:rsidR="00CB27A5" w:rsidRPr="00CB27A5" w:rsidDel="00CB27A5">
        <w:rPr>
          <w:rFonts w:ascii="Trebuchet MS" w:hAnsi="Trebuchet MS"/>
          <w:sz w:val="22"/>
          <w:szCs w:val="22"/>
        </w:rPr>
        <w:t xml:space="preserve"> </w:t>
      </w:r>
      <w:r w:rsidRPr="001E649F">
        <w:rPr>
          <w:rFonts w:ascii="Trebuchet MS" w:hAnsi="Trebuchet MS"/>
          <w:sz w:val="22"/>
          <w:szCs w:val="22"/>
        </w:rPr>
        <w:t>the possibility of subsequent adaptation and expansion of infrastructure and facilities, depending on the evolution of operational requirements, analytical technologies and monitoring obligations.</w:t>
      </w:r>
    </w:p>
    <w:p w14:paraId="7A784D9D" w14:textId="12988F64" w:rsidR="001E649F" w:rsidRPr="001E649F" w:rsidRDefault="001E649F">
      <w:pPr>
        <w:spacing w:before="120" w:after="120" w:line="240" w:lineRule="auto"/>
        <w:jc w:val="both"/>
        <w:rPr>
          <w:rFonts w:ascii="Trebuchet MS" w:hAnsi="Trebuchet MS"/>
          <w:sz w:val="22"/>
          <w:szCs w:val="22"/>
        </w:rPr>
      </w:pPr>
      <w:r w:rsidRPr="001E649F">
        <w:rPr>
          <w:rFonts w:ascii="Trebuchet MS" w:hAnsi="Trebuchet MS"/>
          <w:sz w:val="22"/>
          <w:szCs w:val="22"/>
        </w:rPr>
        <w:t>Consideration may be given to reserving additional technical spaces and capacities for the subsequent installation of complementary equipment or systems.</w:t>
      </w:r>
    </w:p>
    <w:p w14:paraId="4C7EF538" w14:textId="4F28ADDC" w:rsidR="008B4B77" w:rsidRPr="001E649F" w:rsidRDefault="001E649F">
      <w:pPr>
        <w:spacing w:before="120" w:after="120" w:line="240" w:lineRule="auto"/>
        <w:jc w:val="both"/>
        <w:rPr>
          <w:rFonts w:ascii="Trebuchet MS" w:hAnsi="Trebuchet MS"/>
          <w:sz w:val="22"/>
          <w:szCs w:val="22"/>
        </w:rPr>
      </w:pPr>
      <w:r w:rsidRPr="001E649F">
        <w:rPr>
          <w:rFonts w:ascii="Trebuchet MS" w:hAnsi="Trebuchet MS"/>
          <w:sz w:val="22"/>
          <w:szCs w:val="22"/>
        </w:rPr>
        <w:lastRenderedPageBreak/>
        <w:t xml:space="preserve">The organization of spaces and technical infrastructures can be modular, so that the laboratory can gradually adapt to the increase in sample volume and the expansion of the analytical </w:t>
      </w:r>
      <w:r w:rsidR="008A22D2" w:rsidRPr="008A22D2">
        <w:rPr>
          <w:rFonts w:ascii="Trebuchet MS" w:hAnsi="Trebuchet MS"/>
          <w:sz w:val="22"/>
          <w:szCs w:val="22"/>
        </w:rPr>
        <w:t>capabilities</w:t>
      </w:r>
      <w:r w:rsidRPr="001E649F">
        <w:rPr>
          <w:rFonts w:ascii="Trebuchet MS" w:hAnsi="Trebuchet MS"/>
          <w:sz w:val="22"/>
          <w:szCs w:val="22"/>
        </w:rPr>
        <w:t>.</w:t>
      </w:r>
    </w:p>
    <w:sectPr w:rsidR="008B4B77" w:rsidRPr="001E649F" w:rsidSect="00AB5BC9">
      <w:footerReference w:type="even" r:id="rId7"/>
      <w:footerReference w:type="default" r:id="rId8"/>
      <w:footerReference w:type="first" r:id="rId9"/>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7EC68" w14:textId="77777777" w:rsidR="0040149C" w:rsidRDefault="0040149C" w:rsidP="00767E97">
      <w:pPr>
        <w:spacing w:after="0" w:line="240" w:lineRule="auto"/>
      </w:pPr>
      <w:r>
        <w:separator/>
      </w:r>
    </w:p>
  </w:endnote>
  <w:endnote w:type="continuationSeparator" w:id="0">
    <w:p w14:paraId="56C537F6" w14:textId="77777777" w:rsidR="0040149C" w:rsidRDefault="0040149C" w:rsidP="00767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E2EF" w14:textId="69D0772B" w:rsidR="00767E97" w:rsidRDefault="00767E97">
    <w:pPr>
      <w:pStyle w:val="Footer"/>
    </w:pPr>
    <w:r>
      <w:rPr>
        <w:noProof/>
      </w:rPr>
      <mc:AlternateContent>
        <mc:Choice Requires="wps">
          <w:drawing>
            <wp:anchor distT="0" distB="0" distL="0" distR="0" simplePos="0" relativeHeight="251659264" behindDoc="0" locked="0" layoutInCell="1" allowOverlap="1" wp14:anchorId="7D788ED9" wp14:editId="41F52F85">
              <wp:simplePos x="635" y="635"/>
              <wp:positionH relativeFrom="page">
                <wp:align>right</wp:align>
              </wp:positionH>
              <wp:positionV relativeFrom="page">
                <wp:align>bottom</wp:align>
              </wp:positionV>
              <wp:extent cx="1170305" cy="370205"/>
              <wp:effectExtent l="0" t="0" r="0" b="0"/>
              <wp:wrapNone/>
              <wp:docPr id="2013169235"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3F3EE25B" w14:textId="6A7E9C24" w:rsidR="00767E97" w:rsidRPr="00767E97" w:rsidRDefault="00767E97" w:rsidP="00767E97">
                          <w:pPr>
                            <w:spacing w:after="0"/>
                            <w:rPr>
                              <w:rFonts w:ascii="Aptos" w:eastAsia="Aptos" w:hAnsi="Aptos" w:cs="Aptos"/>
                              <w:noProof/>
                              <w:color w:val="000000"/>
                              <w:sz w:val="20"/>
                              <w:szCs w:val="20"/>
                            </w:rPr>
                          </w:pPr>
                          <w:r w:rsidRPr="00767E97">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D788ED9" id="_x0000_t202" coordsize="21600,21600" o:spt="202" path="m,l,21600r21600,l21600,xe">
              <v:stroke joinstyle="miter"/>
              <v:path gradientshapeok="t" o:connecttype="rect"/>
            </v:shapetype>
            <v:shape id="Text Box 2" o:spid="_x0000_s1026" type="#_x0000_t202" alt="Official Use Only" style="position:absolute;margin-left:40.95pt;margin-top:0;width:92.15pt;height:29.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" filled="f" stroked="f">
              <v:fill o:detectmouseclick="t"/>
              <v:textbox style="mso-fit-shape-to-text:t" inset="0,0,20pt,15pt">
                <w:txbxContent>
                  <w:p w14:paraId="3F3EE25B" w14:textId="6A7E9C24" w:rsidR="00767E97" w:rsidRPr="00767E97" w:rsidRDefault="00767E97" w:rsidP="00767E97">
                    <w:pPr>
                      <w:spacing w:after="0"/>
                      <w:rPr>
                        <w:rFonts w:ascii="Aptos" w:eastAsia="Aptos" w:hAnsi="Aptos" w:cs="Aptos"/>
                        <w:noProof/>
                        <w:color w:val="000000"/>
                        <w:sz w:val="20"/>
                        <w:szCs w:val="20"/>
                      </w:rPr>
                    </w:pPr>
                    <w:r w:rsidRPr="00767E97">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57506" w14:textId="305690EC" w:rsidR="00767E97" w:rsidRDefault="00767E97">
    <w:pPr>
      <w:pStyle w:val="Footer"/>
    </w:pPr>
    <w:r>
      <w:rPr>
        <w:noProof/>
      </w:rPr>
      <mc:AlternateContent>
        <mc:Choice Requires="wps">
          <w:drawing>
            <wp:anchor distT="0" distB="0" distL="0" distR="0" simplePos="0" relativeHeight="251660288" behindDoc="0" locked="0" layoutInCell="1" allowOverlap="1" wp14:anchorId="04027C57" wp14:editId="4F9EF521">
              <wp:simplePos x="635" y="635"/>
              <wp:positionH relativeFrom="page">
                <wp:align>right</wp:align>
              </wp:positionH>
              <wp:positionV relativeFrom="page">
                <wp:align>bottom</wp:align>
              </wp:positionV>
              <wp:extent cx="1170305" cy="370205"/>
              <wp:effectExtent l="0" t="0" r="0" b="0"/>
              <wp:wrapNone/>
              <wp:docPr id="1390813159"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1796BB22" w14:textId="0C95D13C" w:rsidR="00767E97" w:rsidRPr="00767E97" w:rsidRDefault="00767E97" w:rsidP="00767E97">
                          <w:pPr>
                            <w:spacing w:after="0"/>
                            <w:rPr>
                              <w:rFonts w:ascii="Aptos" w:eastAsia="Aptos" w:hAnsi="Aptos" w:cs="Aptos"/>
                              <w:noProof/>
                              <w:color w:val="000000"/>
                              <w:sz w:val="20"/>
                              <w:szCs w:val="20"/>
                            </w:rPr>
                          </w:pPr>
                          <w:r w:rsidRPr="00767E97">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027C57" id="_x0000_t202" coordsize="21600,21600" o:spt="202" path="m,l,21600r21600,l21600,xe">
              <v:stroke joinstyle="miter"/>
              <v:path gradientshapeok="t" o:connecttype="rect"/>
            </v:shapetype>
            <v:shape id="Text Box 3" o:spid="_x0000_s1027" type="#_x0000_t202" alt="Official Use Only" style="position:absolute;margin-left:40.95pt;margin-top:0;width:92.15pt;height:29.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" filled="f" stroked="f">
              <v:fill o:detectmouseclick="t"/>
              <v:textbox style="mso-fit-shape-to-text:t" inset="0,0,20pt,15pt">
                <w:txbxContent>
                  <w:p w14:paraId="1796BB22" w14:textId="0C95D13C" w:rsidR="00767E97" w:rsidRPr="00767E97" w:rsidRDefault="00767E97" w:rsidP="00767E97">
                    <w:pPr>
                      <w:spacing w:after="0"/>
                      <w:rPr>
                        <w:rFonts w:ascii="Aptos" w:eastAsia="Aptos" w:hAnsi="Aptos" w:cs="Aptos"/>
                        <w:noProof/>
                        <w:color w:val="000000"/>
                        <w:sz w:val="20"/>
                        <w:szCs w:val="20"/>
                      </w:rPr>
                    </w:pPr>
                    <w:r w:rsidRPr="00767E97">
                      <w:rPr>
                        <w:rFonts w:ascii="Aptos" w:eastAsia="Aptos" w:hAnsi="Aptos" w:cs="Aptos"/>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FDF8C" w14:textId="6F520EA0" w:rsidR="00767E97" w:rsidRDefault="00767E97">
    <w:pPr>
      <w:pStyle w:val="Footer"/>
    </w:pPr>
    <w:r>
      <w:rPr>
        <w:noProof/>
      </w:rPr>
      <mc:AlternateContent>
        <mc:Choice Requires="wps">
          <w:drawing>
            <wp:anchor distT="0" distB="0" distL="0" distR="0" simplePos="0" relativeHeight="251658240" behindDoc="0" locked="0" layoutInCell="1" allowOverlap="1" wp14:anchorId="3A07F31B" wp14:editId="7AF3ED5E">
              <wp:simplePos x="635" y="635"/>
              <wp:positionH relativeFrom="page">
                <wp:align>right</wp:align>
              </wp:positionH>
              <wp:positionV relativeFrom="page">
                <wp:align>bottom</wp:align>
              </wp:positionV>
              <wp:extent cx="1170305" cy="370205"/>
              <wp:effectExtent l="0" t="0" r="0" b="0"/>
              <wp:wrapNone/>
              <wp:docPr id="642455774"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1257680E" w14:textId="3E3FA592" w:rsidR="00767E97" w:rsidRPr="00767E97" w:rsidRDefault="00767E97" w:rsidP="00767E97">
                          <w:pPr>
                            <w:spacing w:after="0"/>
                            <w:rPr>
                              <w:rFonts w:ascii="Aptos" w:eastAsia="Aptos" w:hAnsi="Aptos" w:cs="Aptos"/>
                              <w:noProof/>
                              <w:color w:val="000000"/>
                              <w:sz w:val="20"/>
                              <w:szCs w:val="20"/>
                            </w:rPr>
                          </w:pPr>
                          <w:r w:rsidRPr="00767E97">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A07F31B" id="_x0000_t202" coordsize="21600,21600" o:spt="202" path="m,l,21600r21600,l21600,xe">
              <v:stroke joinstyle="miter"/>
              <v:path gradientshapeok="t" o:connecttype="rect"/>
            </v:shapetype>
            <v:shape id="Text Box 1" o:spid="_x0000_s1028" type="#_x0000_t202" alt="Official Use Only" style="position:absolute;margin-left:40.95pt;margin-top:0;width:92.1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" filled="f" stroked="f">
              <v:fill o:detectmouseclick="t"/>
              <v:textbox style="mso-fit-shape-to-text:t" inset="0,0,20pt,15pt">
                <w:txbxContent>
                  <w:p w14:paraId="1257680E" w14:textId="3E3FA592" w:rsidR="00767E97" w:rsidRPr="00767E97" w:rsidRDefault="00767E97" w:rsidP="00767E97">
                    <w:pPr>
                      <w:spacing w:after="0"/>
                      <w:rPr>
                        <w:rFonts w:ascii="Aptos" w:eastAsia="Aptos" w:hAnsi="Aptos" w:cs="Aptos"/>
                        <w:noProof/>
                        <w:color w:val="000000"/>
                        <w:sz w:val="20"/>
                        <w:szCs w:val="20"/>
                      </w:rPr>
                    </w:pPr>
                    <w:r w:rsidRPr="00767E97">
                      <w:rPr>
                        <w:rFonts w:ascii="Aptos" w:eastAsia="Aptos" w:hAnsi="Aptos" w:cs="Aptos"/>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7AD09" w14:textId="77777777" w:rsidR="0040149C" w:rsidRDefault="0040149C" w:rsidP="00767E97">
      <w:pPr>
        <w:spacing w:after="0" w:line="240" w:lineRule="auto"/>
      </w:pPr>
      <w:r>
        <w:separator/>
      </w:r>
    </w:p>
  </w:footnote>
  <w:footnote w:type="continuationSeparator" w:id="0">
    <w:p w14:paraId="66C7BD20" w14:textId="77777777" w:rsidR="0040149C" w:rsidRDefault="0040149C" w:rsidP="00767E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40D"/>
    <w:multiLevelType w:val="multilevel"/>
    <w:tmpl w:val="D28A88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36EE1"/>
    <w:multiLevelType w:val="multilevel"/>
    <w:tmpl w:val="C9600FD6"/>
    <w:lvl w:ilvl="0">
      <w:start w:val="1"/>
      <w:numFmt w:val="bullet"/>
      <w:lvlText w:val=""/>
      <w:lvlJc w:val="left"/>
      <w:pPr>
        <w:tabs>
          <w:tab w:val="num" w:pos="720"/>
        </w:tabs>
        <w:ind w:left="720" w:hanging="360"/>
      </w:pPr>
      <w:rPr>
        <w:rFonts w:ascii="Wingdings" w:hAnsi="Wingdings" w:hint="default"/>
        <w:sz w:val="20"/>
      </w:rPr>
    </w:lvl>
    <w:lvl w:ilvl="1">
      <w:start w:val="5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50022"/>
    <w:multiLevelType w:val="multilevel"/>
    <w:tmpl w:val="D28A88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E8280B"/>
    <w:multiLevelType w:val="multilevel"/>
    <w:tmpl w:val="D28A883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7955E0"/>
    <w:multiLevelType w:val="multilevel"/>
    <w:tmpl w:val="8400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907414"/>
    <w:multiLevelType w:val="multilevel"/>
    <w:tmpl w:val="0D36134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start w:val="170"/>
      <w:numFmt w:val="decimal"/>
      <w:lvlText w:val="%3"/>
      <w:lvlJc w:val="left"/>
      <w:pPr>
        <w:ind w:left="2205" w:hanging="405"/>
      </w:pPr>
      <w:rPr>
        <w:rFonts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2D5FA5"/>
    <w:multiLevelType w:val="multilevel"/>
    <w:tmpl w:val="D28A88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0877367">
    <w:abstractNumId w:val="5"/>
  </w:num>
  <w:num w:numId="2" w16cid:durableId="889461738">
    <w:abstractNumId w:val="1"/>
  </w:num>
  <w:num w:numId="3" w16cid:durableId="1700400216">
    <w:abstractNumId w:val="4"/>
  </w:num>
  <w:num w:numId="4" w16cid:durableId="1170101611">
    <w:abstractNumId w:val="3"/>
  </w:num>
  <w:num w:numId="5" w16cid:durableId="728916707">
    <w:abstractNumId w:val="0"/>
  </w:num>
  <w:num w:numId="6" w16cid:durableId="913901145">
    <w:abstractNumId w:val="2"/>
  </w:num>
  <w:num w:numId="7" w16cid:durableId="1293244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AE4"/>
    <w:rsid w:val="00047DCC"/>
    <w:rsid w:val="00077EDB"/>
    <w:rsid w:val="001B4AE7"/>
    <w:rsid w:val="001C0EFA"/>
    <w:rsid w:val="001E649F"/>
    <w:rsid w:val="00226EE6"/>
    <w:rsid w:val="0030069E"/>
    <w:rsid w:val="0034252F"/>
    <w:rsid w:val="003A507F"/>
    <w:rsid w:val="0040149C"/>
    <w:rsid w:val="00420A68"/>
    <w:rsid w:val="00442EC5"/>
    <w:rsid w:val="004D2586"/>
    <w:rsid w:val="004D6983"/>
    <w:rsid w:val="005133DE"/>
    <w:rsid w:val="00546C6D"/>
    <w:rsid w:val="00577E77"/>
    <w:rsid w:val="005B11FE"/>
    <w:rsid w:val="005B447B"/>
    <w:rsid w:val="005F7233"/>
    <w:rsid w:val="00602D80"/>
    <w:rsid w:val="0064598E"/>
    <w:rsid w:val="006658D8"/>
    <w:rsid w:val="00694D74"/>
    <w:rsid w:val="006E1090"/>
    <w:rsid w:val="00711709"/>
    <w:rsid w:val="00767E97"/>
    <w:rsid w:val="007713CE"/>
    <w:rsid w:val="007775A8"/>
    <w:rsid w:val="00784452"/>
    <w:rsid w:val="007A5EE4"/>
    <w:rsid w:val="008023D0"/>
    <w:rsid w:val="008A22D2"/>
    <w:rsid w:val="008B4B77"/>
    <w:rsid w:val="009301CD"/>
    <w:rsid w:val="00935C2F"/>
    <w:rsid w:val="00937776"/>
    <w:rsid w:val="00957BC2"/>
    <w:rsid w:val="009D4421"/>
    <w:rsid w:val="00A33B1A"/>
    <w:rsid w:val="00A5655D"/>
    <w:rsid w:val="00AB5BC9"/>
    <w:rsid w:val="00B93F33"/>
    <w:rsid w:val="00B97EF9"/>
    <w:rsid w:val="00BA65A0"/>
    <w:rsid w:val="00BA6DF5"/>
    <w:rsid w:val="00BC34D3"/>
    <w:rsid w:val="00C0728C"/>
    <w:rsid w:val="00C5461F"/>
    <w:rsid w:val="00CB27A5"/>
    <w:rsid w:val="00CD296E"/>
    <w:rsid w:val="00D11B69"/>
    <w:rsid w:val="00D80555"/>
    <w:rsid w:val="00D83AE4"/>
    <w:rsid w:val="00DB3188"/>
    <w:rsid w:val="00E454B5"/>
    <w:rsid w:val="00EB01A7"/>
    <w:rsid w:val="00EE30A6"/>
    <w:rsid w:val="00F23C81"/>
    <w:rsid w:val="00F24F9C"/>
    <w:rsid w:val="00F34219"/>
    <w:rsid w:val="00F55C48"/>
    <w:rsid w:val="00F76204"/>
    <w:rsid w:val="00F93FFB"/>
    <w:rsid w:val="00FB48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791B"/>
  <w15:chartTrackingRefBased/>
  <w15:docId w15:val="{729A6014-0303-41C4-A9E9-1984AA4D2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5A8"/>
  </w:style>
  <w:style w:type="paragraph" w:styleId="Heading1">
    <w:name w:val="heading 1"/>
    <w:basedOn w:val="Normal"/>
    <w:next w:val="Normal"/>
    <w:link w:val="Heading1Char"/>
    <w:uiPriority w:val="9"/>
    <w:qFormat/>
    <w:rsid w:val="00D83A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83A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83AE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83AE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83AE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83A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3A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3A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3A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3AE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83AE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83AE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83AE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83AE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83A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3A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3A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3AE4"/>
    <w:rPr>
      <w:rFonts w:eastAsiaTheme="majorEastAsia" w:cstheme="majorBidi"/>
      <w:color w:val="272727" w:themeColor="text1" w:themeTint="D8"/>
    </w:rPr>
  </w:style>
  <w:style w:type="paragraph" w:styleId="Title">
    <w:name w:val="Title"/>
    <w:basedOn w:val="Normal"/>
    <w:next w:val="Normal"/>
    <w:link w:val="TitleChar"/>
    <w:uiPriority w:val="10"/>
    <w:qFormat/>
    <w:rsid w:val="00D83A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3A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3A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3A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3AE4"/>
    <w:pPr>
      <w:spacing w:before="160"/>
      <w:jc w:val="center"/>
    </w:pPr>
    <w:rPr>
      <w:i/>
      <w:iCs/>
      <w:color w:val="404040" w:themeColor="text1" w:themeTint="BF"/>
    </w:rPr>
  </w:style>
  <w:style w:type="character" w:customStyle="1" w:styleId="QuoteChar">
    <w:name w:val="Quote Char"/>
    <w:basedOn w:val="DefaultParagraphFont"/>
    <w:link w:val="Quote"/>
    <w:uiPriority w:val="29"/>
    <w:rsid w:val="00D83AE4"/>
    <w:rPr>
      <w:i/>
      <w:iCs/>
      <w:color w:val="404040" w:themeColor="text1" w:themeTint="BF"/>
    </w:rPr>
  </w:style>
  <w:style w:type="paragraph" w:styleId="ListParagraph">
    <w:name w:val="List Paragraph"/>
    <w:aliases w:val="body 2,List Paragraph1,List Paragraph11,List Paragraph111"/>
    <w:basedOn w:val="Normal"/>
    <w:uiPriority w:val="34"/>
    <w:qFormat/>
    <w:rsid w:val="00D83AE4"/>
    <w:pPr>
      <w:ind w:left="720"/>
      <w:contextualSpacing/>
    </w:pPr>
  </w:style>
  <w:style w:type="character" w:styleId="IntenseEmphasis">
    <w:name w:val="Intense Emphasis"/>
    <w:basedOn w:val="DefaultParagraphFont"/>
    <w:uiPriority w:val="21"/>
    <w:qFormat/>
    <w:rsid w:val="00D83AE4"/>
    <w:rPr>
      <w:i/>
      <w:iCs/>
      <w:color w:val="2F5496" w:themeColor="accent1" w:themeShade="BF"/>
    </w:rPr>
  </w:style>
  <w:style w:type="paragraph" w:styleId="IntenseQuote">
    <w:name w:val="Intense Quote"/>
    <w:basedOn w:val="Normal"/>
    <w:next w:val="Normal"/>
    <w:link w:val="IntenseQuoteChar"/>
    <w:uiPriority w:val="30"/>
    <w:qFormat/>
    <w:rsid w:val="00D83A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83AE4"/>
    <w:rPr>
      <w:i/>
      <w:iCs/>
      <w:color w:val="2F5496" w:themeColor="accent1" w:themeShade="BF"/>
    </w:rPr>
  </w:style>
  <w:style w:type="character" w:styleId="IntenseReference">
    <w:name w:val="Intense Reference"/>
    <w:basedOn w:val="DefaultParagraphFont"/>
    <w:uiPriority w:val="32"/>
    <w:qFormat/>
    <w:rsid w:val="00D83AE4"/>
    <w:rPr>
      <w:b/>
      <w:bCs/>
      <w:smallCaps/>
      <w:color w:val="2F5496" w:themeColor="accent1" w:themeShade="BF"/>
      <w:spacing w:val="5"/>
    </w:rPr>
  </w:style>
  <w:style w:type="paragraph" w:styleId="NormalWeb">
    <w:name w:val="Normal (Web)"/>
    <w:basedOn w:val="Normal"/>
    <w:uiPriority w:val="99"/>
    <w:rsid w:val="00D83AE4"/>
    <w:pPr>
      <w:tabs>
        <w:tab w:val="left" w:pos="737"/>
      </w:tabs>
      <w:spacing w:line="288" w:lineRule="auto"/>
      <w:ind w:left="737"/>
      <w:jc w:val="both"/>
    </w:pPr>
    <w:rPr>
      <w:rFonts w:ascii="Times New Roman" w:eastAsia="Times New Roman" w:hAnsi="Times New Roman" w:cs="Times New Roman"/>
      <w:kern w:val="0"/>
      <w14:ligatures w14:val="none"/>
    </w:rPr>
  </w:style>
  <w:style w:type="table" w:styleId="GridTable1Light-Accent1">
    <w:name w:val="Grid Table 1 Light Accent 1"/>
    <w:basedOn w:val="TableNormal"/>
    <w:uiPriority w:val="46"/>
    <w:rsid w:val="00D83AE4"/>
    <w:pPr>
      <w:spacing w:after="0" w:line="240" w:lineRule="auto"/>
    </w:pPr>
    <w:rPr>
      <w:kern w:val="0"/>
      <w:sz w:val="22"/>
      <w:szCs w:val="22"/>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7713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13CE"/>
    <w:rPr>
      <w:rFonts w:ascii="Segoe UI" w:hAnsi="Segoe UI" w:cs="Segoe UI"/>
      <w:sz w:val="18"/>
      <w:szCs w:val="18"/>
    </w:rPr>
  </w:style>
  <w:style w:type="paragraph" w:styleId="Revision">
    <w:name w:val="Revision"/>
    <w:hidden/>
    <w:uiPriority w:val="99"/>
    <w:semiHidden/>
    <w:rsid w:val="00BA65A0"/>
    <w:pPr>
      <w:spacing w:after="0" w:line="240" w:lineRule="auto"/>
    </w:pPr>
  </w:style>
  <w:style w:type="character" w:styleId="CommentReference">
    <w:name w:val="annotation reference"/>
    <w:basedOn w:val="DefaultParagraphFont"/>
    <w:uiPriority w:val="99"/>
    <w:semiHidden/>
    <w:unhideWhenUsed/>
    <w:rsid w:val="00767E97"/>
    <w:rPr>
      <w:sz w:val="16"/>
      <w:szCs w:val="16"/>
    </w:rPr>
  </w:style>
  <w:style w:type="paragraph" w:styleId="CommentText">
    <w:name w:val="annotation text"/>
    <w:basedOn w:val="Normal"/>
    <w:link w:val="CommentTextChar"/>
    <w:uiPriority w:val="99"/>
    <w:unhideWhenUsed/>
    <w:rsid w:val="00767E97"/>
    <w:pPr>
      <w:spacing w:line="240" w:lineRule="auto"/>
    </w:pPr>
    <w:rPr>
      <w:sz w:val="20"/>
      <w:szCs w:val="20"/>
    </w:rPr>
  </w:style>
  <w:style w:type="character" w:customStyle="1" w:styleId="CommentTextChar">
    <w:name w:val="Comment Text Char"/>
    <w:basedOn w:val="DefaultParagraphFont"/>
    <w:link w:val="CommentText"/>
    <w:uiPriority w:val="99"/>
    <w:rsid w:val="00767E97"/>
    <w:rPr>
      <w:sz w:val="20"/>
      <w:szCs w:val="20"/>
    </w:rPr>
  </w:style>
  <w:style w:type="paragraph" w:styleId="CommentSubject">
    <w:name w:val="annotation subject"/>
    <w:basedOn w:val="CommentText"/>
    <w:next w:val="CommentText"/>
    <w:link w:val="CommentSubjectChar"/>
    <w:uiPriority w:val="99"/>
    <w:semiHidden/>
    <w:unhideWhenUsed/>
    <w:rsid w:val="00767E97"/>
    <w:rPr>
      <w:b/>
      <w:bCs/>
    </w:rPr>
  </w:style>
  <w:style w:type="character" w:customStyle="1" w:styleId="CommentSubjectChar">
    <w:name w:val="Comment Subject Char"/>
    <w:basedOn w:val="CommentTextChar"/>
    <w:link w:val="CommentSubject"/>
    <w:uiPriority w:val="99"/>
    <w:semiHidden/>
    <w:rsid w:val="00767E97"/>
    <w:rPr>
      <w:b/>
      <w:bCs/>
      <w:sz w:val="20"/>
      <w:szCs w:val="20"/>
    </w:rPr>
  </w:style>
  <w:style w:type="paragraph" w:styleId="Footer">
    <w:name w:val="footer"/>
    <w:basedOn w:val="Normal"/>
    <w:link w:val="FooterChar"/>
    <w:uiPriority w:val="99"/>
    <w:unhideWhenUsed/>
    <w:rsid w:val="00767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1977</Words>
  <Characters>11274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Popa</dc:creator>
  <cp:keywords/>
  <dc:description/>
  <cp:lastModifiedBy>Catalina Criveanu</cp:lastModifiedBy>
  <cp:revision>3</cp:revision>
  <dcterms:created xsi:type="dcterms:W3CDTF">2026-07-23T08:31:00Z</dcterms:created>
  <dcterms:modified xsi:type="dcterms:W3CDTF">2026-07-23T08:32:00Z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264b18de,77fe8653,52e61fe7</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2026-07-21T04:56:17Z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0a786de0-2c83-4ffd-8e29-4126b2b1e579</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